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9" w:rsidRPr="00E37CB1" w:rsidRDefault="002D2C99" w:rsidP="00606C7B">
      <w:pPr>
        <w:jc w:val="center"/>
        <w:rPr>
          <w:lang w:val="fr-FR"/>
        </w:rPr>
      </w:pPr>
      <w:bookmarkStart w:id="0" w:name="_GoBack"/>
      <w:bookmarkEnd w:id="0"/>
    </w:p>
    <w:p w:rsidR="002D2C99" w:rsidRDefault="002D2C99" w:rsidP="002D2C99">
      <w:pPr>
        <w:jc w:val="center"/>
        <w:rPr>
          <w:lang w:val="fr-FR"/>
        </w:rPr>
      </w:pPr>
    </w:p>
    <w:p w:rsidR="00606C7B" w:rsidRPr="00E37CB1" w:rsidRDefault="00606C7B" w:rsidP="002D2C99">
      <w:pPr>
        <w:jc w:val="center"/>
        <w:rPr>
          <w:lang w:val="fr-FR"/>
        </w:rPr>
      </w:pPr>
    </w:p>
    <w:p w:rsidR="002D2C99" w:rsidRPr="00E37CB1" w:rsidRDefault="006C6373" w:rsidP="002D2C99">
      <w:pPr>
        <w:tabs>
          <w:tab w:val="left" w:pos="5529"/>
        </w:tabs>
        <w:jc w:val="center"/>
        <w:rPr>
          <w:lang w:val="fr-FR"/>
        </w:rPr>
      </w:pPr>
      <w:r>
        <w:rPr>
          <w:lang w:val="fr-FR"/>
        </w:rPr>
        <w:t>QUATRIÈME SECTION</w:t>
      </w:r>
    </w:p>
    <w:p w:rsidR="002D2C99" w:rsidRPr="00E37CB1" w:rsidRDefault="002D2C99" w:rsidP="002D2C99">
      <w:pPr>
        <w:jc w:val="center"/>
        <w:rPr>
          <w:lang w:val="fr-FR"/>
        </w:rPr>
      </w:pPr>
    </w:p>
    <w:p w:rsidR="002D2C99" w:rsidRPr="00E37CB1" w:rsidRDefault="002D2C99" w:rsidP="002D2C99">
      <w:pPr>
        <w:jc w:val="center"/>
        <w:rPr>
          <w:lang w:val="fr-FR"/>
        </w:rPr>
      </w:pPr>
    </w:p>
    <w:p w:rsidR="002D2C99" w:rsidRPr="00E37CB1" w:rsidRDefault="002D2C99" w:rsidP="002D2C99">
      <w:pPr>
        <w:jc w:val="center"/>
        <w:rPr>
          <w:lang w:val="fr-FR"/>
        </w:rPr>
      </w:pPr>
    </w:p>
    <w:p w:rsidR="002D2C99" w:rsidRPr="00E37CB1" w:rsidRDefault="002D2C99" w:rsidP="002D2C99">
      <w:pPr>
        <w:jc w:val="center"/>
        <w:rPr>
          <w:lang w:val="fr-FR"/>
        </w:rPr>
      </w:pPr>
    </w:p>
    <w:p w:rsidR="002D2C99" w:rsidRPr="00E37CB1" w:rsidRDefault="002D2C99" w:rsidP="002D2C99">
      <w:pPr>
        <w:jc w:val="center"/>
        <w:rPr>
          <w:lang w:val="fr-FR"/>
        </w:rPr>
      </w:pPr>
    </w:p>
    <w:p w:rsidR="002D2C99" w:rsidRPr="00E37CB1" w:rsidRDefault="002D2C99" w:rsidP="002D2C99">
      <w:pPr>
        <w:jc w:val="center"/>
        <w:rPr>
          <w:lang w:val="fr-FR"/>
        </w:rPr>
      </w:pPr>
    </w:p>
    <w:p w:rsidR="002D2C99" w:rsidRPr="00E37CB1" w:rsidRDefault="002D2C99" w:rsidP="002D2C99">
      <w:pPr>
        <w:jc w:val="center"/>
        <w:outlineLvl w:val="0"/>
        <w:rPr>
          <w:b/>
          <w:lang w:val="fr-FR"/>
        </w:rPr>
      </w:pPr>
      <w:r w:rsidRPr="00E37CB1">
        <w:rPr>
          <w:b/>
          <w:lang w:val="fr-FR"/>
        </w:rPr>
        <w:t xml:space="preserve">AFFAIRE </w:t>
      </w:r>
      <w:r w:rsidR="006C6373">
        <w:rPr>
          <w:b/>
          <w:lang w:val="fr-FR"/>
        </w:rPr>
        <w:t>QUINTILIANI c. ITALIE</w:t>
      </w:r>
    </w:p>
    <w:p w:rsidR="002D2C99" w:rsidRPr="00E37CB1" w:rsidRDefault="002D2C99" w:rsidP="002D2C99">
      <w:pPr>
        <w:jc w:val="center"/>
        <w:rPr>
          <w:lang w:val="fr-FR"/>
        </w:rPr>
      </w:pPr>
    </w:p>
    <w:p w:rsidR="002D2C99" w:rsidRPr="00E37CB1" w:rsidRDefault="002D2C99" w:rsidP="002D2C99">
      <w:pPr>
        <w:jc w:val="center"/>
        <w:rPr>
          <w:i/>
          <w:lang w:val="fr-FR"/>
        </w:rPr>
      </w:pPr>
      <w:r w:rsidRPr="00E37CB1">
        <w:rPr>
          <w:i/>
          <w:lang w:val="fr-FR"/>
        </w:rPr>
        <w:t>(Requête n</w:t>
      </w:r>
      <w:r w:rsidRPr="00E37CB1">
        <w:rPr>
          <w:i/>
          <w:vertAlign w:val="superscript"/>
          <w:lang w:val="fr-FR"/>
        </w:rPr>
        <w:t>o</w:t>
      </w:r>
      <w:r w:rsidRPr="00E37CB1">
        <w:rPr>
          <w:i/>
          <w:lang w:val="fr-FR"/>
        </w:rPr>
        <w:t xml:space="preserve"> </w:t>
      </w:r>
      <w:r w:rsidR="006C6373">
        <w:rPr>
          <w:i/>
          <w:lang w:val="fr-FR"/>
        </w:rPr>
        <w:t>9167/05</w:t>
      </w:r>
      <w:r w:rsidRPr="00E37CB1">
        <w:rPr>
          <w:i/>
          <w:lang w:val="fr-FR"/>
        </w:rPr>
        <w:t>)</w:t>
      </w:r>
    </w:p>
    <w:p w:rsidR="002D2C99" w:rsidRPr="00E37CB1" w:rsidRDefault="002D2C99" w:rsidP="002D2C99">
      <w:pPr>
        <w:jc w:val="center"/>
        <w:rPr>
          <w:lang w:val="fr-FR"/>
        </w:rPr>
      </w:pPr>
    </w:p>
    <w:p w:rsidR="002D2C99" w:rsidRPr="00E37CB1" w:rsidRDefault="002D2C99" w:rsidP="002D2C99">
      <w:pPr>
        <w:jc w:val="center"/>
        <w:rPr>
          <w:lang w:val="fr-FR"/>
        </w:rPr>
      </w:pPr>
    </w:p>
    <w:p w:rsidR="002D2C99" w:rsidRPr="00E37CB1" w:rsidRDefault="002D2C99" w:rsidP="002D2C99">
      <w:pPr>
        <w:jc w:val="center"/>
        <w:rPr>
          <w:lang w:val="fr-FR"/>
        </w:rPr>
      </w:pPr>
    </w:p>
    <w:p w:rsidR="002D2C99" w:rsidRPr="00E37CB1" w:rsidRDefault="002D2C99" w:rsidP="002D2C99">
      <w:pPr>
        <w:jc w:val="center"/>
        <w:rPr>
          <w:lang w:val="fr-FR"/>
        </w:rPr>
      </w:pPr>
    </w:p>
    <w:p w:rsidR="002D2C99" w:rsidRPr="00E37CB1" w:rsidRDefault="002D2C99" w:rsidP="002D2C99">
      <w:pPr>
        <w:jc w:val="center"/>
        <w:rPr>
          <w:lang w:val="fr-FR"/>
        </w:rPr>
      </w:pPr>
    </w:p>
    <w:p w:rsidR="002D2C99" w:rsidRPr="00E37CB1" w:rsidRDefault="002D2C99" w:rsidP="002D2C99">
      <w:pPr>
        <w:jc w:val="center"/>
        <w:rPr>
          <w:lang w:val="fr-FR"/>
        </w:rPr>
      </w:pPr>
    </w:p>
    <w:p w:rsidR="002D2C99" w:rsidRPr="00E37CB1" w:rsidRDefault="002D2C99" w:rsidP="002D2C99">
      <w:pPr>
        <w:jc w:val="center"/>
        <w:rPr>
          <w:lang w:val="fr-FR"/>
        </w:rPr>
      </w:pPr>
    </w:p>
    <w:p w:rsidR="002D2C99" w:rsidRPr="00E37CB1" w:rsidRDefault="002D2C99" w:rsidP="002D2C99">
      <w:pPr>
        <w:jc w:val="center"/>
        <w:rPr>
          <w:lang w:val="fr-FR"/>
        </w:rPr>
      </w:pPr>
    </w:p>
    <w:p w:rsidR="002D2C99" w:rsidRPr="00E37CB1" w:rsidRDefault="002D2C99" w:rsidP="002D2C99">
      <w:pPr>
        <w:jc w:val="center"/>
        <w:rPr>
          <w:lang w:val="fr-FR"/>
        </w:rPr>
      </w:pPr>
    </w:p>
    <w:p w:rsidR="002D2C99" w:rsidRPr="00E37CB1" w:rsidRDefault="002D2C99" w:rsidP="002D2C99">
      <w:pPr>
        <w:jc w:val="center"/>
        <w:rPr>
          <w:lang w:val="fr-FR"/>
        </w:rPr>
      </w:pPr>
    </w:p>
    <w:p w:rsidR="002D2C99" w:rsidRPr="00E37CB1" w:rsidRDefault="002D2C99" w:rsidP="00606C7B">
      <w:pPr>
        <w:jc w:val="center"/>
        <w:rPr>
          <w:lang w:val="fr-FR"/>
        </w:rPr>
      </w:pPr>
      <w:r w:rsidRPr="00E37CB1">
        <w:rPr>
          <w:lang w:val="fr-FR"/>
        </w:rPr>
        <w:t>ARRÊT</w:t>
      </w:r>
    </w:p>
    <w:p w:rsidR="002D2C99" w:rsidRPr="00E37CB1" w:rsidRDefault="002D2C99" w:rsidP="002D2C99">
      <w:pPr>
        <w:jc w:val="center"/>
        <w:rPr>
          <w:lang w:val="fr-FR"/>
        </w:rPr>
      </w:pPr>
    </w:p>
    <w:p w:rsidR="002D2C99" w:rsidRPr="00606C7B" w:rsidRDefault="002D2C99" w:rsidP="002D2C99">
      <w:pPr>
        <w:jc w:val="center"/>
        <w:rPr>
          <w:lang w:val="fr-FR"/>
        </w:rPr>
      </w:pPr>
    </w:p>
    <w:p w:rsidR="002D2C99" w:rsidRPr="00E37CB1" w:rsidRDefault="002D2C99" w:rsidP="002D2C99">
      <w:pPr>
        <w:jc w:val="center"/>
        <w:rPr>
          <w:lang w:val="fr-FR"/>
        </w:rPr>
      </w:pPr>
    </w:p>
    <w:p w:rsidR="002D2C99" w:rsidRPr="00E37CB1" w:rsidRDefault="002D2C99" w:rsidP="00606C7B">
      <w:pPr>
        <w:jc w:val="center"/>
        <w:rPr>
          <w:lang w:val="fr-FR"/>
        </w:rPr>
      </w:pPr>
      <w:r w:rsidRPr="00E37CB1">
        <w:rPr>
          <w:lang w:val="fr-FR"/>
        </w:rPr>
        <w:t>STRASBOURG</w:t>
      </w:r>
    </w:p>
    <w:p w:rsidR="002D2C99" w:rsidRPr="00E37CB1" w:rsidRDefault="002D2C99" w:rsidP="002D2C99">
      <w:pPr>
        <w:jc w:val="center"/>
        <w:rPr>
          <w:lang w:val="fr-FR"/>
        </w:rPr>
      </w:pPr>
    </w:p>
    <w:p w:rsidR="002D2C99" w:rsidRPr="00E37CB1" w:rsidRDefault="006C6373" w:rsidP="002D2C99">
      <w:pPr>
        <w:jc w:val="center"/>
        <w:rPr>
          <w:lang w:val="fr-FR"/>
        </w:rPr>
      </w:pPr>
      <w:r>
        <w:rPr>
          <w:lang w:val="fr-FR"/>
        </w:rPr>
        <w:t>6 octobre 2015</w:t>
      </w:r>
    </w:p>
    <w:p w:rsidR="002D2C99" w:rsidRPr="00E37CB1" w:rsidRDefault="002D2C99" w:rsidP="002D2C99">
      <w:pPr>
        <w:jc w:val="center"/>
        <w:rPr>
          <w:lang w:val="fr-FR"/>
        </w:rPr>
      </w:pPr>
    </w:p>
    <w:p w:rsidR="002D2C99" w:rsidRPr="00E37CB1" w:rsidRDefault="002D2C99" w:rsidP="002D2C99">
      <w:pPr>
        <w:jc w:val="center"/>
        <w:rPr>
          <w:lang w:val="fr-FR"/>
        </w:rPr>
      </w:pPr>
    </w:p>
    <w:p w:rsidR="002D2C99" w:rsidRPr="00E37CB1" w:rsidRDefault="002D2C99" w:rsidP="002D2C99">
      <w:pPr>
        <w:jc w:val="left"/>
        <w:rPr>
          <w:i/>
          <w:lang w:val="fr-FR"/>
        </w:rPr>
      </w:pPr>
      <w:r w:rsidRPr="00E37CB1">
        <w:rPr>
          <w:i/>
          <w:sz w:val="22"/>
          <w:lang w:val="fr-FR"/>
        </w:rPr>
        <w:t xml:space="preserve">Cet arrêt </w:t>
      </w:r>
      <w:r w:rsidR="006C6373" w:rsidRPr="00E37CB1">
        <w:rPr>
          <w:i/>
          <w:sz w:val="22"/>
          <w:lang w:val="fr-FR"/>
        </w:rPr>
        <w:t>est définitif</w:t>
      </w:r>
      <w:r w:rsidRPr="00E37CB1">
        <w:rPr>
          <w:i/>
          <w:sz w:val="22"/>
          <w:lang w:val="fr-FR"/>
        </w:rPr>
        <w:t>. Il peut subir des retouches de forme.</w:t>
      </w:r>
    </w:p>
    <w:p w:rsidR="002D2C99" w:rsidRPr="00E37CB1" w:rsidRDefault="002D2C99" w:rsidP="002D2C99">
      <w:pPr>
        <w:rPr>
          <w:lang w:val="fr-FR"/>
        </w:rPr>
        <w:sectPr w:rsidR="002D2C99" w:rsidRPr="00E37CB1" w:rsidSect="00F5432B">
          <w:headerReference w:type="default" r:id="rId11"/>
          <w:footerReference w:type="default" r:id="rId12"/>
          <w:pgSz w:w="11906" w:h="16838" w:code="9"/>
          <w:pgMar w:top="2274" w:right="2274" w:bottom="2274" w:left="2274" w:header="1701" w:footer="720" w:gutter="0"/>
          <w:pgNumType w:start="1"/>
          <w:cols w:space="720"/>
          <w:noEndnote/>
        </w:sectPr>
      </w:pPr>
    </w:p>
    <w:p w:rsidR="002D2C99" w:rsidRPr="00E37CB1" w:rsidRDefault="002D2C99" w:rsidP="002D2C99">
      <w:pPr>
        <w:pStyle w:val="JuCase"/>
        <w:rPr>
          <w:lang w:val="fr-FR"/>
        </w:rPr>
      </w:pPr>
      <w:r w:rsidRPr="00E37CB1">
        <w:rPr>
          <w:lang w:val="fr-FR"/>
        </w:rPr>
        <w:lastRenderedPageBreak/>
        <w:t>En l</w:t>
      </w:r>
      <w:r w:rsidR="00606C7B">
        <w:rPr>
          <w:lang w:val="fr-FR"/>
        </w:rPr>
        <w:t>’</w:t>
      </w:r>
      <w:r w:rsidRPr="00E37CB1">
        <w:rPr>
          <w:lang w:val="fr-FR"/>
        </w:rPr>
        <w:t xml:space="preserve">affaire </w:t>
      </w:r>
      <w:proofErr w:type="spellStart"/>
      <w:r w:rsidR="006C6373">
        <w:rPr>
          <w:lang w:val="fr-FR"/>
        </w:rPr>
        <w:t>Quintiliani</w:t>
      </w:r>
      <w:proofErr w:type="spellEnd"/>
      <w:r w:rsidR="006C6373">
        <w:rPr>
          <w:lang w:val="fr-FR"/>
        </w:rPr>
        <w:t xml:space="preserve"> c. Italie</w:t>
      </w:r>
      <w:r w:rsidRPr="00E37CB1">
        <w:rPr>
          <w:lang w:val="fr-FR"/>
        </w:rPr>
        <w:t>,</w:t>
      </w:r>
    </w:p>
    <w:p w:rsidR="006C6373" w:rsidRPr="00434EC4" w:rsidRDefault="006C6373" w:rsidP="006C6373">
      <w:pPr>
        <w:pStyle w:val="ECHRPara"/>
        <w:rPr>
          <w:lang w:val="fr-FR"/>
        </w:rPr>
      </w:pPr>
      <w:r w:rsidRPr="00434EC4">
        <w:rPr>
          <w:lang w:val="fr-FR"/>
        </w:rPr>
        <w:t>La Cour européenne des droits de l</w:t>
      </w:r>
      <w:r w:rsidR="00606C7B">
        <w:rPr>
          <w:lang w:val="fr-FR"/>
        </w:rPr>
        <w:t>’</w:t>
      </w:r>
      <w:r w:rsidRPr="00434EC4">
        <w:rPr>
          <w:lang w:val="fr-FR"/>
        </w:rPr>
        <w:t>homme (</w:t>
      </w:r>
      <w:r>
        <w:rPr>
          <w:lang w:val="fr-FR"/>
        </w:rPr>
        <w:t>quatrième section</w:t>
      </w:r>
      <w:r w:rsidRPr="00434EC4">
        <w:rPr>
          <w:lang w:val="fr-FR"/>
        </w:rPr>
        <w:t>), siégeant en un comité composé de :</w:t>
      </w:r>
    </w:p>
    <w:p w:rsidR="006C6373" w:rsidRPr="00434EC4" w:rsidRDefault="006C6373" w:rsidP="006C6373">
      <w:pPr>
        <w:pStyle w:val="ECHRDecisionBody"/>
        <w:rPr>
          <w:lang w:val="fr-FR"/>
        </w:rPr>
      </w:pPr>
      <w:r w:rsidRPr="00D25844">
        <w:rPr>
          <w:lang w:val="fr-FR"/>
        </w:rPr>
        <w:tab/>
      </w:r>
      <w:proofErr w:type="spellStart"/>
      <w:r w:rsidRPr="00D25844">
        <w:rPr>
          <w:lang w:val="fr-FR"/>
        </w:rPr>
        <w:t>Ledi</w:t>
      </w:r>
      <w:proofErr w:type="spellEnd"/>
      <w:r>
        <w:rPr>
          <w:lang w:val="fr-FR"/>
        </w:rPr>
        <w:t xml:space="preserve"> </w:t>
      </w:r>
      <w:proofErr w:type="spellStart"/>
      <w:r w:rsidRPr="00D25844">
        <w:rPr>
          <w:lang w:val="fr-FR"/>
        </w:rPr>
        <w:t>Bianku</w:t>
      </w:r>
      <w:proofErr w:type="spellEnd"/>
      <w:r>
        <w:rPr>
          <w:lang w:val="fr-FR"/>
        </w:rPr>
        <w:t>,</w:t>
      </w:r>
      <w:r w:rsidRPr="00D25844">
        <w:rPr>
          <w:i/>
          <w:lang w:val="fr-FR"/>
        </w:rPr>
        <w:t xml:space="preserve"> président,</w:t>
      </w:r>
      <w:r>
        <w:rPr>
          <w:i/>
          <w:lang w:val="fr-FR"/>
        </w:rPr>
        <w:br/>
      </w:r>
      <w:r w:rsidRPr="00D25844">
        <w:rPr>
          <w:lang w:val="fr-FR"/>
        </w:rPr>
        <w:tab/>
      </w:r>
      <w:proofErr w:type="spellStart"/>
      <w:r w:rsidRPr="00D25844">
        <w:rPr>
          <w:lang w:val="fr-FR"/>
        </w:rPr>
        <w:t>Nona</w:t>
      </w:r>
      <w:proofErr w:type="spellEnd"/>
      <w:r>
        <w:rPr>
          <w:lang w:val="fr-FR"/>
        </w:rPr>
        <w:t xml:space="preserve"> </w:t>
      </w:r>
      <w:proofErr w:type="spellStart"/>
      <w:r w:rsidRPr="00D25844">
        <w:rPr>
          <w:lang w:val="fr-FR"/>
        </w:rPr>
        <w:t>Tsotsoria</w:t>
      </w:r>
      <w:proofErr w:type="spellEnd"/>
      <w:r>
        <w:rPr>
          <w:lang w:val="fr-FR"/>
        </w:rPr>
        <w:t>,</w:t>
      </w:r>
      <w:r>
        <w:rPr>
          <w:i/>
          <w:lang w:val="fr-FR"/>
        </w:rPr>
        <w:br/>
      </w:r>
      <w:r w:rsidRPr="00D25844">
        <w:rPr>
          <w:lang w:val="fr-FR"/>
        </w:rPr>
        <w:tab/>
        <w:t>Paul</w:t>
      </w:r>
      <w:r>
        <w:rPr>
          <w:lang w:val="fr-FR"/>
        </w:rPr>
        <w:t xml:space="preserve"> </w:t>
      </w:r>
      <w:proofErr w:type="spellStart"/>
      <w:r w:rsidRPr="00D25844">
        <w:rPr>
          <w:lang w:val="fr-FR"/>
        </w:rPr>
        <w:t>Mahoney</w:t>
      </w:r>
      <w:proofErr w:type="spellEnd"/>
      <w:r>
        <w:rPr>
          <w:lang w:val="fr-FR"/>
        </w:rPr>
        <w:t>,</w:t>
      </w:r>
      <w:r w:rsidRPr="00D25844">
        <w:rPr>
          <w:i/>
          <w:lang w:val="fr-FR"/>
        </w:rPr>
        <w:t xml:space="preserve"> juges</w:t>
      </w:r>
      <w:proofErr w:type="gramStart"/>
      <w:r w:rsidRPr="00D25844">
        <w:rPr>
          <w:i/>
          <w:lang w:val="fr-FR"/>
        </w:rPr>
        <w:t>,</w:t>
      </w:r>
      <w:proofErr w:type="gramEnd"/>
      <w:r w:rsidRPr="00434EC4">
        <w:rPr>
          <w:lang w:val="fr-FR"/>
        </w:rPr>
        <w:br/>
        <w:t xml:space="preserve">et de </w:t>
      </w:r>
      <w:proofErr w:type="spellStart"/>
      <w:r>
        <w:rPr>
          <w:lang w:val="fr-FR"/>
        </w:rPr>
        <w:t>Fatoş</w:t>
      </w:r>
      <w:proofErr w:type="spellEnd"/>
      <w:r w:rsidRPr="00434EC4">
        <w:rPr>
          <w:lang w:val="fr-FR"/>
        </w:rPr>
        <w:t xml:space="preserve"> </w:t>
      </w:r>
      <w:proofErr w:type="spellStart"/>
      <w:r>
        <w:rPr>
          <w:lang w:val="fr-FR"/>
        </w:rPr>
        <w:t>Aracı</w:t>
      </w:r>
      <w:proofErr w:type="spellEnd"/>
      <w:r w:rsidRPr="00434EC4">
        <w:rPr>
          <w:lang w:val="fr-FR"/>
        </w:rPr>
        <w:t xml:space="preserve">, </w:t>
      </w:r>
      <w:r w:rsidRPr="00434EC4">
        <w:rPr>
          <w:i/>
          <w:lang w:val="fr-FR"/>
        </w:rPr>
        <w:t>greffière adjointe</w:t>
      </w:r>
      <w:r w:rsidRPr="00434EC4">
        <w:rPr>
          <w:iCs/>
          <w:lang w:val="fr-FR"/>
        </w:rPr>
        <w:t xml:space="preserve"> </w:t>
      </w:r>
      <w:r w:rsidRPr="00434EC4">
        <w:rPr>
          <w:i/>
          <w:iCs/>
          <w:lang w:val="fr-FR"/>
        </w:rPr>
        <w:t>d</w:t>
      </w:r>
      <w:r w:rsidRPr="00434EC4">
        <w:rPr>
          <w:i/>
          <w:lang w:val="fr-FR"/>
        </w:rPr>
        <w:t>e section</w:t>
      </w:r>
      <w:r w:rsidRPr="00434EC4">
        <w:rPr>
          <w:lang w:val="fr-FR"/>
        </w:rPr>
        <w:t>,</w:t>
      </w:r>
    </w:p>
    <w:p w:rsidR="006C6373" w:rsidRPr="00434EC4" w:rsidRDefault="006C6373" w:rsidP="006C6373">
      <w:pPr>
        <w:pStyle w:val="ECHRPara"/>
        <w:rPr>
          <w:lang w:val="fr-FR"/>
        </w:rPr>
      </w:pPr>
      <w:r w:rsidRPr="00434EC4">
        <w:rPr>
          <w:lang w:val="fr-FR"/>
        </w:rPr>
        <w:t xml:space="preserve">Après en avoir délibéré en chambre du conseil le </w:t>
      </w:r>
      <w:r>
        <w:rPr>
          <w:lang w:val="fr-FR"/>
        </w:rPr>
        <w:t>15 septembre 2015</w:t>
      </w:r>
      <w:r w:rsidRPr="00434EC4">
        <w:rPr>
          <w:lang w:val="fr-FR"/>
        </w:rPr>
        <w:t>,</w:t>
      </w:r>
    </w:p>
    <w:p w:rsidR="006C6373" w:rsidRPr="00434EC4" w:rsidRDefault="006C6373" w:rsidP="006C6373">
      <w:pPr>
        <w:pStyle w:val="ECHRPara"/>
        <w:rPr>
          <w:lang w:val="fr-FR"/>
        </w:rPr>
      </w:pPr>
      <w:r w:rsidRPr="00434EC4">
        <w:rPr>
          <w:lang w:val="fr-FR"/>
        </w:rPr>
        <w:t>Rend l</w:t>
      </w:r>
      <w:r w:rsidR="00606C7B">
        <w:rPr>
          <w:lang w:val="fr-FR"/>
        </w:rPr>
        <w:t>’</w:t>
      </w:r>
      <w:r w:rsidRPr="00434EC4">
        <w:rPr>
          <w:lang w:val="fr-FR"/>
        </w:rPr>
        <w:t>arrêt que voici, adopté à cette date :</w:t>
      </w:r>
    </w:p>
    <w:p w:rsidR="006C6373" w:rsidRPr="00434EC4" w:rsidRDefault="006C6373" w:rsidP="006C6373">
      <w:pPr>
        <w:pStyle w:val="ECHRTitle1"/>
        <w:rPr>
          <w:lang w:val="fr-FR"/>
        </w:rPr>
      </w:pPr>
      <w:r w:rsidRPr="00434EC4">
        <w:rPr>
          <w:lang w:val="fr-FR"/>
        </w:rPr>
        <w:t>PROCÉDURE</w:t>
      </w:r>
    </w:p>
    <w:p w:rsidR="006C6373" w:rsidRPr="00434EC4" w:rsidRDefault="006C6373" w:rsidP="006C6373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297D64">
        <w:rPr>
          <w:noProof/>
          <w:lang w:val="fr-FR"/>
        </w:rPr>
        <w:t>1</w:t>
      </w:r>
      <w:r>
        <w:rPr>
          <w:lang w:val="fr-FR"/>
        </w:rPr>
        <w:fldChar w:fldCharType="end"/>
      </w:r>
      <w:r w:rsidRPr="00434EC4">
        <w:rPr>
          <w:lang w:val="fr-FR"/>
        </w:rPr>
        <w:t>.  À l</w:t>
      </w:r>
      <w:r w:rsidR="00606C7B">
        <w:rPr>
          <w:lang w:val="fr-FR"/>
        </w:rPr>
        <w:t>’</w:t>
      </w:r>
      <w:r w:rsidRPr="00434EC4">
        <w:rPr>
          <w:lang w:val="fr-FR"/>
        </w:rPr>
        <w:t>origine de l</w:t>
      </w:r>
      <w:r w:rsidR="00606C7B">
        <w:rPr>
          <w:lang w:val="fr-FR"/>
        </w:rPr>
        <w:t>’</w:t>
      </w:r>
      <w:r w:rsidRPr="00434EC4">
        <w:rPr>
          <w:lang w:val="fr-FR"/>
        </w:rPr>
        <w:t>affaire se trouve une requête (n</w:t>
      </w:r>
      <w:r w:rsidRPr="00065C50">
        <w:rPr>
          <w:vertAlign w:val="superscript"/>
          <w:lang w:val="fr-FR"/>
        </w:rPr>
        <w:t>o</w:t>
      </w:r>
      <w:r w:rsidRPr="00434EC4">
        <w:rPr>
          <w:lang w:val="fr-FR"/>
        </w:rPr>
        <w:t xml:space="preserve"> </w:t>
      </w:r>
      <w:r>
        <w:rPr>
          <w:lang w:val="fr-FR"/>
        </w:rPr>
        <w:t>9167/05</w:t>
      </w:r>
      <w:r w:rsidRPr="00434EC4">
        <w:rPr>
          <w:lang w:val="fr-FR"/>
        </w:rPr>
        <w:t xml:space="preserve">) dirigée contre </w:t>
      </w:r>
      <w:r>
        <w:rPr>
          <w:lang w:val="fr-FR"/>
        </w:rPr>
        <w:t>la République italienne</w:t>
      </w:r>
      <w:r w:rsidRPr="00434EC4">
        <w:rPr>
          <w:lang w:val="fr-FR"/>
        </w:rPr>
        <w:t xml:space="preserve"> et dont </w:t>
      </w:r>
      <w:r>
        <w:rPr>
          <w:lang w:val="fr-FR"/>
        </w:rPr>
        <w:t>deux</w:t>
      </w:r>
      <w:r w:rsidRPr="00434EC4">
        <w:rPr>
          <w:lang w:val="fr-FR"/>
        </w:rPr>
        <w:t xml:space="preserve"> ressortissantes de cet État, M</w:t>
      </w:r>
      <w:r w:rsidRPr="00434EC4">
        <w:rPr>
          <w:vertAlign w:val="superscript"/>
          <w:lang w:val="fr-FR"/>
        </w:rPr>
        <w:t>mes</w:t>
      </w:r>
      <w:r w:rsidR="005407D7">
        <w:rPr>
          <w:lang w:val="fr-FR"/>
        </w:rPr>
        <w:t> </w:t>
      </w:r>
      <w:r>
        <w:rPr>
          <w:lang w:val="fr-FR"/>
        </w:rPr>
        <w:t>Rita</w:t>
      </w:r>
      <w:r w:rsidRPr="00434EC4">
        <w:rPr>
          <w:lang w:val="fr-FR"/>
        </w:rPr>
        <w:t xml:space="preserve"> </w:t>
      </w:r>
      <w:proofErr w:type="spellStart"/>
      <w:r>
        <w:rPr>
          <w:lang w:val="fr-FR"/>
        </w:rPr>
        <w:t>Quintiliani</w:t>
      </w:r>
      <w:proofErr w:type="spellEnd"/>
      <w:r w:rsidRPr="00434EC4">
        <w:rPr>
          <w:lang w:val="fr-FR"/>
        </w:rPr>
        <w:t xml:space="preserve"> et </w:t>
      </w:r>
      <w:proofErr w:type="spellStart"/>
      <w:r>
        <w:rPr>
          <w:lang w:val="fr-FR"/>
        </w:rPr>
        <w:t>Piera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Quintiliani</w:t>
      </w:r>
      <w:proofErr w:type="spellEnd"/>
      <w:r w:rsidRPr="00434EC4">
        <w:rPr>
          <w:lang w:val="fr-FR"/>
        </w:rPr>
        <w:t xml:space="preserve"> (« les requérantes »), ont saisi la Cour le </w:t>
      </w:r>
      <w:r>
        <w:rPr>
          <w:lang w:val="fr-FR"/>
        </w:rPr>
        <w:t>25 février 2005</w:t>
      </w:r>
      <w:r w:rsidRPr="00434EC4">
        <w:rPr>
          <w:lang w:val="fr-FR"/>
        </w:rPr>
        <w:t xml:space="preserve"> en vertu de l</w:t>
      </w:r>
      <w:r w:rsidR="00606C7B">
        <w:rPr>
          <w:lang w:val="fr-FR"/>
        </w:rPr>
        <w:t>’</w:t>
      </w:r>
      <w:r w:rsidRPr="00434EC4">
        <w:rPr>
          <w:lang w:val="fr-FR"/>
        </w:rPr>
        <w:t>article 34 de la Convention de sauvegarde des droits de l</w:t>
      </w:r>
      <w:r w:rsidR="00606C7B">
        <w:rPr>
          <w:lang w:val="fr-FR"/>
        </w:rPr>
        <w:t>’</w:t>
      </w:r>
      <w:r w:rsidRPr="00434EC4">
        <w:rPr>
          <w:lang w:val="fr-FR"/>
        </w:rPr>
        <w:t>homme et des libertés fondamentales (« la Convention »).</w:t>
      </w:r>
    </w:p>
    <w:p w:rsidR="006C6373" w:rsidRDefault="006C6373" w:rsidP="006C6373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297D64">
        <w:rPr>
          <w:noProof/>
          <w:lang w:val="fr-FR"/>
        </w:rPr>
        <w:t>2</w:t>
      </w:r>
      <w:r>
        <w:rPr>
          <w:lang w:val="fr-FR"/>
        </w:rPr>
        <w:fldChar w:fldCharType="end"/>
      </w:r>
      <w:r w:rsidRPr="00434EC4">
        <w:rPr>
          <w:lang w:val="fr-FR"/>
        </w:rPr>
        <w:t>.  Les requérantes ont été représentées par M</w:t>
      </w:r>
      <w:r w:rsidRPr="00434EC4">
        <w:rPr>
          <w:vertAlign w:val="superscript"/>
          <w:lang w:val="fr-FR"/>
        </w:rPr>
        <w:t>e</w:t>
      </w:r>
      <w:r w:rsidRPr="00434EC4">
        <w:rPr>
          <w:lang w:val="fr-FR"/>
        </w:rPr>
        <w:t> </w:t>
      </w:r>
      <w:r>
        <w:rPr>
          <w:lang w:val="fr-FR"/>
        </w:rPr>
        <w:t>R.</w:t>
      </w:r>
      <w:r w:rsidRPr="00434EC4">
        <w:rPr>
          <w:lang w:val="fr-FR"/>
        </w:rPr>
        <w:t xml:space="preserve"> </w:t>
      </w:r>
      <w:proofErr w:type="spellStart"/>
      <w:r>
        <w:rPr>
          <w:lang w:val="fr-FR"/>
        </w:rPr>
        <w:t>Baldassini</w:t>
      </w:r>
      <w:proofErr w:type="spellEnd"/>
      <w:r w:rsidRPr="00434EC4">
        <w:rPr>
          <w:lang w:val="fr-FR"/>
        </w:rPr>
        <w:t xml:space="preserve">, avocat à </w:t>
      </w:r>
      <w:proofErr w:type="spellStart"/>
      <w:r>
        <w:rPr>
          <w:lang w:val="fr-FR"/>
        </w:rPr>
        <w:t>Sora</w:t>
      </w:r>
      <w:proofErr w:type="spellEnd"/>
      <w:r w:rsidRPr="00434EC4">
        <w:rPr>
          <w:lang w:val="fr-FR"/>
        </w:rPr>
        <w:t xml:space="preserve">. </w:t>
      </w:r>
      <w:r w:rsidRPr="002B4E5D">
        <w:rPr>
          <w:lang w:val="fr-FR"/>
        </w:rPr>
        <w:t xml:space="preserve">Le gouvernement </w:t>
      </w:r>
      <w:r>
        <w:rPr>
          <w:lang w:val="fr-FR"/>
        </w:rPr>
        <w:t>italien</w:t>
      </w:r>
      <w:r w:rsidRPr="002B4E5D">
        <w:rPr>
          <w:lang w:val="fr-FR"/>
        </w:rPr>
        <w:t xml:space="preserve"> (« le Gouvernement ») </w:t>
      </w:r>
      <w:r w:rsidRPr="005E37C6">
        <w:rPr>
          <w:lang w:val="fr-FR"/>
        </w:rPr>
        <w:t xml:space="preserve">a été représenté par son agent, </w:t>
      </w:r>
      <w:r w:rsidRPr="009C4997">
        <w:rPr>
          <w:color w:val="000000"/>
          <w:lang w:val="fr-FR"/>
        </w:rPr>
        <w:t>M</w:t>
      </w:r>
      <w:r w:rsidRPr="009C4997">
        <w:rPr>
          <w:color w:val="000000"/>
          <w:vertAlign w:val="superscript"/>
          <w:lang w:val="fr-FR"/>
        </w:rPr>
        <w:t>me</w:t>
      </w:r>
      <w:r>
        <w:rPr>
          <w:color w:val="000000"/>
          <w:lang w:val="fr-FR"/>
        </w:rPr>
        <w:t xml:space="preserve"> E. </w:t>
      </w:r>
      <w:proofErr w:type="spellStart"/>
      <w:r>
        <w:rPr>
          <w:color w:val="000000"/>
          <w:lang w:val="fr-FR"/>
        </w:rPr>
        <w:t>Spatafora</w:t>
      </w:r>
      <w:proofErr w:type="spellEnd"/>
      <w:r>
        <w:rPr>
          <w:color w:val="000000"/>
          <w:lang w:val="fr-FR"/>
        </w:rPr>
        <w:t xml:space="preserve">, son ancien </w:t>
      </w:r>
      <w:proofErr w:type="spellStart"/>
      <w:r>
        <w:rPr>
          <w:color w:val="000000"/>
          <w:lang w:val="fr-FR"/>
        </w:rPr>
        <w:t>coagent</w:t>
      </w:r>
      <w:proofErr w:type="spellEnd"/>
      <w:r>
        <w:rPr>
          <w:color w:val="000000"/>
          <w:lang w:val="fr-FR"/>
        </w:rPr>
        <w:t xml:space="preserve"> N. </w:t>
      </w:r>
      <w:proofErr w:type="spellStart"/>
      <w:r>
        <w:rPr>
          <w:color w:val="000000"/>
          <w:lang w:val="fr-FR"/>
        </w:rPr>
        <w:t>Lettieri</w:t>
      </w:r>
      <w:proofErr w:type="spellEnd"/>
      <w:r>
        <w:rPr>
          <w:color w:val="000000"/>
          <w:lang w:val="fr-FR"/>
        </w:rPr>
        <w:t xml:space="preserve">, et </w:t>
      </w:r>
      <w:r>
        <w:rPr>
          <w:lang w:val="fr-FR"/>
        </w:rPr>
        <w:t xml:space="preserve">sa </w:t>
      </w:r>
      <w:proofErr w:type="spellStart"/>
      <w:r>
        <w:rPr>
          <w:lang w:val="fr-FR"/>
        </w:rPr>
        <w:t>co</w:t>
      </w:r>
      <w:r w:rsidRPr="00EF56AE">
        <w:rPr>
          <w:lang w:val="fr-FR"/>
        </w:rPr>
        <w:t>agente</w:t>
      </w:r>
      <w:proofErr w:type="spellEnd"/>
      <w:r w:rsidRPr="00EF56AE">
        <w:rPr>
          <w:lang w:val="fr-FR"/>
        </w:rPr>
        <w:t xml:space="preserve"> M</w:t>
      </w:r>
      <w:r w:rsidRPr="00EF56AE">
        <w:rPr>
          <w:vertAlign w:val="superscript"/>
          <w:lang w:val="fr-FR"/>
        </w:rPr>
        <w:t>me </w:t>
      </w:r>
      <w:r w:rsidRPr="00EF56AE">
        <w:rPr>
          <w:lang w:val="fr-FR"/>
        </w:rPr>
        <w:t xml:space="preserve">P. </w:t>
      </w:r>
      <w:proofErr w:type="spellStart"/>
      <w:r w:rsidRPr="00EF56AE">
        <w:rPr>
          <w:lang w:val="fr-FR"/>
        </w:rPr>
        <w:t>Accardo</w:t>
      </w:r>
      <w:proofErr w:type="spellEnd"/>
      <w:r w:rsidRPr="009C4997">
        <w:rPr>
          <w:lang w:val="fr-FR"/>
        </w:rPr>
        <w:t>.</w:t>
      </w:r>
    </w:p>
    <w:p w:rsidR="006C6373" w:rsidRPr="00434EC4" w:rsidRDefault="006C6373" w:rsidP="006C6373">
      <w:pPr>
        <w:pStyle w:val="ECHRPara"/>
        <w:rPr>
          <w:szCs w:val="24"/>
          <w:lang w:val="fr-FR" w:eastAsia="en-GB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297D64">
        <w:rPr>
          <w:noProof/>
          <w:lang w:val="fr-FR"/>
        </w:rPr>
        <w:t>3</w:t>
      </w:r>
      <w:r>
        <w:rPr>
          <w:lang w:val="fr-FR"/>
        </w:rPr>
        <w:fldChar w:fldCharType="end"/>
      </w:r>
      <w:r w:rsidRPr="00434EC4">
        <w:rPr>
          <w:lang w:val="fr-FR"/>
        </w:rPr>
        <w:t xml:space="preserve">.  Le </w:t>
      </w:r>
      <w:r>
        <w:rPr>
          <w:szCs w:val="24"/>
          <w:lang w:val="fr-FR"/>
        </w:rPr>
        <w:t>6 janvier 2009</w:t>
      </w:r>
      <w:r w:rsidRPr="00434EC4">
        <w:rPr>
          <w:lang w:val="fr-FR"/>
        </w:rPr>
        <w:t>, la requête a été communiquée au Gouvernement.</w:t>
      </w:r>
    </w:p>
    <w:p w:rsidR="006C6373" w:rsidRPr="00434EC4" w:rsidRDefault="006C6373" w:rsidP="006C6373">
      <w:pPr>
        <w:pStyle w:val="ECHRTitle1"/>
        <w:tabs>
          <w:tab w:val="left" w:pos="5387"/>
        </w:tabs>
        <w:rPr>
          <w:lang w:val="fr-FR"/>
        </w:rPr>
      </w:pPr>
      <w:r w:rsidRPr="00434EC4">
        <w:rPr>
          <w:lang w:val="fr-FR"/>
        </w:rPr>
        <w:t>EN FAIT</w:t>
      </w:r>
    </w:p>
    <w:p w:rsidR="006C6373" w:rsidRPr="00434EC4" w:rsidRDefault="006C6373" w:rsidP="006C6373">
      <w:pPr>
        <w:pStyle w:val="ECHRHeading1"/>
        <w:rPr>
          <w:lang w:val="fr-FR"/>
        </w:rPr>
      </w:pPr>
      <w:r w:rsidRPr="00434EC4">
        <w:rPr>
          <w:lang w:val="fr-FR"/>
        </w:rPr>
        <w:t>I.  LES CIRCONSTANCES DE L</w:t>
      </w:r>
      <w:r w:rsidR="00606C7B">
        <w:rPr>
          <w:lang w:val="fr-FR"/>
        </w:rPr>
        <w:t>’</w:t>
      </w:r>
      <w:r w:rsidRPr="00434EC4">
        <w:rPr>
          <w:lang w:val="fr-FR"/>
        </w:rPr>
        <w:t>ESPÈCE</w:t>
      </w:r>
    </w:p>
    <w:p w:rsidR="006C6373" w:rsidRPr="00434EC4" w:rsidRDefault="006C6373" w:rsidP="00606C7B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297D64">
        <w:rPr>
          <w:noProof/>
          <w:lang w:val="fr-FR"/>
        </w:rPr>
        <w:t>4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Pr="00434EC4">
        <w:rPr>
          <w:lang w:val="fr-FR"/>
        </w:rPr>
        <w:t xml:space="preserve">Les requérantes sont nées respectivement en </w:t>
      </w:r>
      <w:r>
        <w:rPr>
          <w:lang w:val="fr-FR"/>
        </w:rPr>
        <w:t>1950</w:t>
      </w:r>
      <w:r w:rsidRPr="00434EC4">
        <w:rPr>
          <w:lang w:val="fr-FR"/>
        </w:rPr>
        <w:t xml:space="preserve"> et </w:t>
      </w:r>
      <w:r>
        <w:rPr>
          <w:lang w:val="fr-FR"/>
        </w:rPr>
        <w:t>1955</w:t>
      </w:r>
      <w:r w:rsidRPr="00434EC4">
        <w:rPr>
          <w:lang w:val="fr-FR"/>
        </w:rPr>
        <w:t xml:space="preserve"> et résident à </w:t>
      </w:r>
      <w:proofErr w:type="spellStart"/>
      <w:r>
        <w:rPr>
          <w:lang w:val="fr-FR"/>
        </w:rPr>
        <w:t>Ciampino</w:t>
      </w:r>
      <w:proofErr w:type="spellEnd"/>
      <w:r w:rsidRPr="00434EC4">
        <w:rPr>
          <w:lang w:val="fr-FR"/>
        </w:rPr>
        <w:t>.</w:t>
      </w:r>
    </w:p>
    <w:p w:rsidR="006C6373" w:rsidRPr="0088619D" w:rsidRDefault="006C6373" w:rsidP="00606C7B">
      <w:pPr>
        <w:pStyle w:val="ECHRPara"/>
        <w:rPr>
          <w:color w:val="000000"/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297D64">
        <w:rPr>
          <w:noProof/>
          <w:lang w:val="fr-FR"/>
        </w:rPr>
        <w:t>5</w:t>
      </w:r>
      <w:r>
        <w:rPr>
          <w:lang w:val="fr-FR"/>
        </w:rPr>
        <w:fldChar w:fldCharType="end"/>
      </w:r>
      <w:r>
        <w:rPr>
          <w:lang w:val="fr-FR"/>
        </w:rPr>
        <w:t>.  Les</w:t>
      </w:r>
      <w:r w:rsidRPr="009F1C2A">
        <w:rPr>
          <w:rFonts w:ascii="Times New Roman" w:hAnsi="Times New Roman" w:cs="Times New Roman"/>
          <w:color w:val="000000"/>
          <w:lang w:val="fr-FR"/>
        </w:rPr>
        <w:t xml:space="preserve"> requérantes étaient propriétaires d</w:t>
      </w:r>
      <w:r w:rsidR="00606C7B">
        <w:rPr>
          <w:rFonts w:ascii="Times New Roman" w:hAnsi="Times New Roman" w:cs="Times New Roman"/>
          <w:color w:val="000000"/>
          <w:lang w:val="fr-FR"/>
        </w:rPr>
        <w:t>’</w:t>
      </w:r>
      <w:r w:rsidRPr="009F1C2A">
        <w:rPr>
          <w:rFonts w:ascii="Times New Roman" w:hAnsi="Times New Roman" w:cs="Times New Roman"/>
          <w:color w:val="000000"/>
          <w:lang w:val="fr-FR"/>
        </w:rPr>
        <w:t xml:space="preserve">un terrain constructible sis à </w:t>
      </w:r>
      <w:proofErr w:type="spellStart"/>
      <w:r w:rsidRPr="009F1C2A">
        <w:rPr>
          <w:rFonts w:ascii="Times New Roman" w:hAnsi="Times New Roman" w:cs="Times New Roman"/>
          <w:color w:val="000000"/>
          <w:lang w:val="fr-FR"/>
        </w:rPr>
        <w:t>Ciampino</w:t>
      </w:r>
      <w:proofErr w:type="spellEnd"/>
      <w:r w:rsidRPr="009F1C2A">
        <w:rPr>
          <w:rFonts w:ascii="Times New Roman" w:hAnsi="Times New Roman" w:cs="Times New Roman"/>
          <w:color w:val="000000"/>
          <w:lang w:val="fr-FR"/>
        </w:rPr>
        <w:t xml:space="preserve"> et enregistré au cadastre, feuille 7, parcelle 1 </w:t>
      </w:r>
      <w:r>
        <w:rPr>
          <w:rFonts w:ascii="Times New Roman" w:hAnsi="Times New Roman" w:cs="Times New Roman"/>
          <w:color w:val="000000"/>
          <w:lang w:val="fr-FR"/>
        </w:rPr>
        <w:t>528</w:t>
      </w:r>
      <w:r w:rsidRPr="0088619D">
        <w:rPr>
          <w:color w:val="000000"/>
          <w:lang w:val="fr-FR"/>
        </w:rPr>
        <w:t>.</w:t>
      </w:r>
    </w:p>
    <w:p w:rsidR="006C6373" w:rsidRPr="009F1C2A" w:rsidRDefault="006C6373" w:rsidP="00606C7B">
      <w:pPr>
        <w:pStyle w:val="ECHRPara"/>
        <w:rPr>
          <w:rFonts w:ascii="Times New Roman" w:hAnsi="Times New Roman" w:cs="Times New Roman"/>
          <w:color w:val="000000"/>
          <w:lang w:val="fr-FR"/>
        </w:rPr>
      </w:pPr>
      <w:r>
        <w:rPr>
          <w:color w:val="000000"/>
          <w:lang w:val="fr-FR"/>
        </w:rPr>
        <w:fldChar w:fldCharType="begin"/>
      </w:r>
      <w:r>
        <w:rPr>
          <w:color w:val="000000"/>
          <w:lang w:val="fr-FR"/>
        </w:rPr>
        <w:instrText xml:space="preserve"> SEQ level0 \*arabic </w:instrText>
      </w:r>
      <w:r>
        <w:rPr>
          <w:color w:val="000000"/>
          <w:lang w:val="fr-FR"/>
        </w:rPr>
        <w:fldChar w:fldCharType="separate"/>
      </w:r>
      <w:r w:rsidR="00297D64">
        <w:rPr>
          <w:noProof/>
          <w:color w:val="000000"/>
          <w:lang w:val="fr-FR"/>
        </w:rPr>
        <w:t>6</w:t>
      </w:r>
      <w:r>
        <w:rPr>
          <w:color w:val="000000"/>
          <w:lang w:val="fr-FR"/>
        </w:rPr>
        <w:fldChar w:fldCharType="end"/>
      </w:r>
      <w:r>
        <w:rPr>
          <w:color w:val="000000"/>
          <w:lang w:val="fr-FR"/>
        </w:rPr>
        <w:t>.  </w:t>
      </w:r>
      <w:r w:rsidRPr="005900E0">
        <w:rPr>
          <w:rFonts w:ascii="Times New Roman" w:hAnsi="Times New Roman" w:cs="Times New Roman"/>
          <w:color w:val="000000"/>
          <w:lang w:val="fr-FR"/>
        </w:rPr>
        <w:t xml:space="preserve">Par un arrêté du 4 novembre 1988, le conseil municipal de </w:t>
      </w:r>
      <w:proofErr w:type="spellStart"/>
      <w:r w:rsidRPr="005900E0">
        <w:rPr>
          <w:rFonts w:ascii="Times New Roman" w:hAnsi="Times New Roman" w:cs="Times New Roman"/>
          <w:color w:val="000000"/>
          <w:lang w:val="fr-FR"/>
        </w:rPr>
        <w:t>Ciampino</w:t>
      </w:r>
      <w:proofErr w:type="spellEnd"/>
      <w:r w:rsidRPr="005900E0">
        <w:rPr>
          <w:rFonts w:ascii="Times New Roman" w:hAnsi="Times New Roman" w:cs="Times New Roman"/>
          <w:color w:val="000000"/>
          <w:lang w:val="fr-FR"/>
        </w:rPr>
        <w:t xml:space="preserve"> approuva le projet de construction d</w:t>
      </w:r>
      <w:r w:rsidR="00606C7B">
        <w:rPr>
          <w:rFonts w:ascii="Times New Roman" w:hAnsi="Times New Roman" w:cs="Times New Roman"/>
          <w:color w:val="000000"/>
          <w:lang w:val="fr-FR"/>
        </w:rPr>
        <w:t>’</w:t>
      </w:r>
      <w:r w:rsidRPr="005900E0">
        <w:rPr>
          <w:rFonts w:ascii="Times New Roman" w:hAnsi="Times New Roman" w:cs="Times New Roman"/>
          <w:color w:val="000000"/>
          <w:lang w:val="fr-FR"/>
        </w:rPr>
        <w:t xml:space="preserve">une route sur le terrain des </w:t>
      </w:r>
      <w:r w:rsidRPr="009F1C2A">
        <w:rPr>
          <w:rFonts w:ascii="Times New Roman" w:hAnsi="Times New Roman" w:cs="Times New Roman"/>
          <w:color w:val="000000"/>
          <w:lang w:val="fr-FR"/>
        </w:rPr>
        <w:t>requérantes.</w:t>
      </w:r>
    </w:p>
    <w:p w:rsidR="006C6373" w:rsidRDefault="006C6373" w:rsidP="00606C7B">
      <w:pPr>
        <w:pStyle w:val="ECHRPara"/>
        <w:rPr>
          <w:color w:val="000000"/>
          <w:lang w:val="fr-FR"/>
        </w:rPr>
      </w:pPr>
      <w:r w:rsidRPr="009F1C2A">
        <w:rPr>
          <w:rFonts w:ascii="Times New Roman" w:hAnsi="Times New Roman" w:cs="Times New Roman"/>
          <w:color w:val="000000"/>
          <w:lang w:val="fr-FR"/>
        </w:rPr>
        <w:fldChar w:fldCharType="begin"/>
      </w:r>
      <w:r w:rsidRPr="009F1C2A">
        <w:rPr>
          <w:rFonts w:ascii="Times New Roman" w:hAnsi="Times New Roman" w:cs="Times New Roman"/>
          <w:color w:val="000000"/>
          <w:lang w:val="fr-FR"/>
        </w:rPr>
        <w:instrText xml:space="preserve"> SEQ level0 \*arabic </w:instrText>
      </w:r>
      <w:r w:rsidRPr="009F1C2A">
        <w:rPr>
          <w:rFonts w:ascii="Times New Roman" w:hAnsi="Times New Roman" w:cs="Times New Roman"/>
          <w:color w:val="000000"/>
          <w:lang w:val="fr-FR"/>
        </w:rPr>
        <w:fldChar w:fldCharType="separate"/>
      </w:r>
      <w:r w:rsidR="00297D64">
        <w:rPr>
          <w:rFonts w:ascii="Times New Roman" w:hAnsi="Times New Roman" w:cs="Times New Roman"/>
          <w:noProof/>
          <w:color w:val="000000"/>
          <w:lang w:val="fr-FR"/>
        </w:rPr>
        <w:t>7</w:t>
      </w:r>
      <w:r w:rsidRPr="009F1C2A">
        <w:rPr>
          <w:rFonts w:ascii="Times New Roman" w:hAnsi="Times New Roman" w:cs="Times New Roman"/>
          <w:color w:val="000000"/>
          <w:lang w:val="fr-FR"/>
        </w:rPr>
        <w:fldChar w:fldCharType="end"/>
      </w:r>
      <w:r w:rsidRPr="009F1C2A">
        <w:rPr>
          <w:rFonts w:ascii="Times New Roman" w:hAnsi="Times New Roman" w:cs="Times New Roman"/>
          <w:color w:val="000000"/>
          <w:lang w:val="fr-FR"/>
        </w:rPr>
        <w:t>.  </w:t>
      </w:r>
      <w:r w:rsidRPr="009F1C2A">
        <w:rPr>
          <w:color w:val="000000"/>
          <w:lang w:val="fr-FR"/>
        </w:rPr>
        <w:t xml:space="preserve">Par un arrêté du 5 avril 1989, le maire de </w:t>
      </w:r>
      <w:proofErr w:type="spellStart"/>
      <w:r w:rsidRPr="009F1C2A">
        <w:rPr>
          <w:color w:val="000000"/>
          <w:lang w:val="fr-FR"/>
        </w:rPr>
        <w:t>Ciampino</w:t>
      </w:r>
      <w:proofErr w:type="spellEnd"/>
      <w:r w:rsidRPr="009F1C2A">
        <w:rPr>
          <w:color w:val="000000"/>
          <w:lang w:val="fr-FR"/>
        </w:rPr>
        <w:t xml:space="preserve"> ordonna l</w:t>
      </w:r>
      <w:r w:rsidR="00606C7B">
        <w:rPr>
          <w:color w:val="000000"/>
          <w:lang w:val="fr-FR"/>
        </w:rPr>
        <w:t>’</w:t>
      </w:r>
      <w:r w:rsidRPr="009F1C2A">
        <w:rPr>
          <w:color w:val="000000"/>
          <w:lang w:val="fr-FR"/>
        </w:rPr>
        <w:t>occupation d</w:t>
      </w:r>
      <w:r w:rsidR="00606C7B">
        <w:rPr>
          <w:color w:val="000000"/>
          <w:lang w:val="fr-FR"/>
        </w:rPr>
        <w:t>’</w:t>
      </w:r>
      <w:r w:rsidRPr="009F1C2A">
        <w:rPr>
          <w:color w:val="000000"/>
          <w:lang w:val="fr-FR"/>
        </w:rPr>
        <w:t>urgence d</w:t>
      </w:r>
      <w:r w:rsidR="00606C7B">
        <w:rPr>
          <w:color w:val="000000"/>
          <w:lang w:val="fr-FR"/>
        </w:rPr>
        <w:t>’</w:t>
      </w:r>
      <w:r w:rsidRPr="009F1C2A">
        <w:rPr>
          <w:color w:val="000000"/>
          <w:lang w:val="fr-FR"/>
        </w:rPr>
        <w:t>une partie du terrain des requérantes, à savoir 512 mètres carrés, en vue de son expropriation, afin de procéder à la construction de la route.</w:t>
      </w:r>
    </w:p>
    <w:p w:rsidR="006C6373" w:rsidRPr="0088619D" w:rsidRDefault="006C6373" w:rsidP="00606C7B">
      <w:pPr>
        <w:pStyle w:val="ECHRPara"/>
        <w:rPr>
          <w:color w:val="000000"/>
          <w:lang w:val="fr-FR"/>
        </w:rPr>
      </w:pPr>
      <w:r>
        <w:rPr>
          <w:color w:val="000000"/>
          <w:lang w:val="fr-FR"/>
        </w:rPr>
        <w:fldChar w:fldCharType="begin"/>
      </w:r>
      <w:r>
        <w:rPr>
          <w:color w:val="000000"/>
          <w:lang w:val="fr-FR"/>
        </w:rPr>
        <w:instrText xml:space="preserve"> SEQ level0 \*arabic </w:instrText>
      </w:r>
      <w:r>
        <w:rPr>
          <w:color w:val="000000"/>
          <w:lang w:val="fr-FR"/>
        </w:rPr>
        <w:fldChar w:fldCharType="separate"/>
      </w:r>
      <w:r w:rsidR="00297D64">
        <w:rPr>
          <w:noProof/>
          <w:color w:val="000000"/>
          <w:lang w:val="fr-FR"/>
        </w:rPr>
        <w:t>8</w:t>
      </w:r>
      <w:r>
        <w:rPr>
          <w:color w:val="000000"/>
          <w:lang w:val="fr-FR"/>
        </w:rPr>
        <w:fldChar w:fldCharType="end"/>
      </w:r>
      <w:r>
        <w:rPr>
          <w:color w:val="000000"/>
          <w:lang w:val="fr-FR"/>
        </w:rPr>
        <w:t>.  </w:t>
      </w:r>
      <w:r w:rsidRPr="009F1C2A">
        <w:rPr>
          <w:color w:val="000000"/>
          <w:lang w:val="fr-FR"/>
        </w:rPr>
        <w:t>L</w:t>
      </w:r>
      <w:r w:rsidR="00606C7B">
        <w:rPr>
          <w:color w:val="000000"/>
          <w:lang w:val="fr-FR"/>
        </w:rPr>
        <w:t>’</w:t>
      </w:r>
      <w:r w:rsidRPr="009F1C2A">
        <w:rPr>
          <w:color w:val="000000"/>
          <w:lang w:val="fr-FR"/>
        </w:rPr>
        <w:t>occupation</w:t>
      </w:r>
      <w:r w:rsidRPr="0088619D">
        <w:rPr>
          <w:color w:val="000000"/>
          <w:lang w:val="fr-FR"/>
        </w:rPr>
        <w:t xml:space="preserve"> matérielle eut lieu le </w:t>
      </w:r>
      <w:r w:rsidRPr="0088619D">
        <w:rPr>
          <w:color w:val="000000"/>
          <w:szCs w:val="24"/>
          <w:lang w:val="fr-FR" w:eastAsia="en-GB"/>
        </w:rPr>
        <w:t>16 mai 1989</w:t>
      </w:r>
      <w:r w:rsidRPr="0088619D">
        <w:rPr>
          <w:color w:val="000000"/>
          <w:lang w:val="fr-FR"/>
        </w:rPr>
        <w:t>.</w:t>
      </w:r>
    </w:p>
    <w:p w:rsidR="006C6373" w:rsidRPr="0088619D" w:rsidRDefault="006C6373" w:rsidP="00606C7B">
      <w:pPr>
        <w:pStyle w:val="ECHRPara"/>
        <w:rPr>
          <w:color w:val="000000"/>
          <w:szCs w:val="24"/>
          <w:lang w:val="fr-FR" w:eastAsia="en-GB"/>
        </w:rPr>
      </w:pPr>
      <w:r>
        <w:rPr>
          <w:color w:val="000000"/>
          <w:szCs w:val="24"/>
          <w:lang w:val="fr-FR" w:eastAsia="en-GB"/>
        </w:rPr>
        <w:lastRenderedPageBreak/>
        <w:fldChar w:fldCharType="begin"/>
      </w:r>
      <w:r>
        <w:rPr>
          <w:color w:val="000000"/>
          <w:szCs w:val="24"/>
          <w:lang w:val="fr-FR" w:eastAsia="en-GB"/>
        </w:rPr>
        <w:instrText xml:space="preserve"> SEQ level0 \*arabic </w:instrText>
      </w:r>
      <w:r>
        <w:rPr>
          <w:color w:val="000000"/>
          <w:szCs w:val="24"/>
          <w:lang w:val="fr-FR" w:eastAsia="en-GB"/>
        </w:rPr>
        <w:fldChar w:fldCharType="separate"/>
      </w:r>
      <w:r w:rsidR="00297D64">
        <w:rPr>
          <w:noProof/>
          <w:color w:val="000000"/>
          <w:szCs w:val="24"/>
          <w:lang w:val="fr-FR" w:eastAsia="en-GB"/>
        </w:rPr>
        <w:t>9</w:t>
      </w:r>
      <w:r>
        <w:rPr>
          <w:color w:val="000000"/>
          <w:szCs w:val="24"/>
          <w:lang w:val="fr-FR" w:eastAsia="en-GB"/>
        </w:rPr>
        <w:fldChar w:fldCharType="end"/>
      </w:r>
      <w:r>
        <w:rPr>
          <w:color w:val="000000"/>
          <w:szCs w:val="24"/>
          <w:lang w:val="fr-FR" w:eastAsia="en-GB"/>
        </w:rPr>
        <w:t>.  </w:t>
      </w:r>
      <w:r w:rsidRPr="0088619D">
        <w:rPr>
          <w:color w:val="000000"/>
          <w:szCs w:val="24"/>
          <w:lang w:val="fr-FR" w:eastAsia="en-GB"/>
        </w:rPr>
        <w:t xml:space="preserve">Le 27 février 1996, les requérantes introduisirent devant le tribunal de </w:t>
      </w:r>
      <w:proofErr w:type="spellStart"/>
      <w:r w:rsidRPr="0088619D">
        <w:rPr>
          <w:color w:val="000000"/>
          <w:szCs w:val="24"/>
          <w:lang w:val="fr-FR" w:eastAsia="en-GB"/>
        </w:rPr>
        <w:t>Velletri</w:t>
      </w:r>
      <w:proofErr w:type="spellEnd"/>
      <w:r w:rsidRPr="0088619D">
        <w:rPr>
          <w:color w:val="0000FF"/>
          <w:szCs w:val="24"/>
          <w:lang w:val="fr-FR" w:eastAsia="en-GB"/>
        </w:rPr>
        <w:t xml:space="preserve"> </w:t>
      </w:r>
      <w:r w:rsidRPr="0088619D">
        <w:rPr>
          <w:color w:val="000000"/>
          <w:szCs w:val="24"/>
          <w:lang w:val="fr-FR" w:eastAsia="en-GB"/>
        </w:rPr>
        <w:t>une action en dommages-intérêts à l</w:t>
      </w:r>
      <w:r w:rsidR="00606C7B">
        <w:rPr>
          <w:color w:val="000000"/>
          <w:szCs w:val="24"/>
          <w:lang w:val="fr-FR" w:eastAsia="en-GB"/>
        </w:rPr>
        <w:t>’</w:t>
      </w:r>
      <w:r w:rsidRPr="0088619D">
        <w:rPr>
          <w:color w:val="000000"/>
          <w:szCs w:val="24"/>
          <w:lang w:val="fr-FR" w:eastAsia="en-GB"/>
        </w:rPr>
        <w:t>encontre de la municipalité. Elles faisaient valoir que l</w:t>
      </w:r>
      <w:r w:rsidR="00606C7B">
        <w:rPr>
          <w:color w:val="000000"/>
          <w:szCs w:val="24"/>
          <w:lang w:val="fr-FR" w:eastAsia="en-GB"/>
        </w:rPr>
        <w:t>’</w:t>
      </w:r>
      <w:r w:rsidRPr="0088619D">
        <w:rPr>
          <w:color w:val="000000"/>
          <w:szCs w:val="24"/>
          <w:lang w:val="fr-FR" w:eastAsia="en-GB"/>
        </w:rPr>
        <w:t>occupation du terrain était illégale, étant donné que celle-ci s</w:t>
      </w:r>
      <w:r w:rsidR="00606C7B">
        <w:rPr>
          <w:color w:val="000000"/>
          <w:szCs w:val="24"/>
          <w:lang w:val="fr-FR" w:eastAsia="en-GB"/>
        </w:rPr>
        <w:t>’</w:t>
      </w:r>
      <w:r w:rsidRPr="0088619D">
        <w:rPr>
          <w:color w:val="000000"/>
          <w:szCs w:val="24"/>
          <w:lang w:val="fr-FR" w:eastAsia="en-GB"/>
        </w:rPr>
        <w:t>était poursuivie au-delà de la période autorisée, sans mise en œuvre d</w:t>
      </w:r>
      <w:r w:rsidR="00606C7B">
        <w:rPr>
          <w:color w:val="000000"/>
          <w:szCs w:val="24"/>
          <w:lang w:val="fr-FR" w:eastAsia="en-GB"/>
        </w:rPr>
        <w:t>’</w:t>
      </w:r>
      <w:r w:rsidRPr="0088619D">
        <w:rPr>
          <w:color w:val="000000"/>
          <w:szCs w:val="24"/>
          <w:lang w:val="fr-FR" w:eastAsia="en-GB"/>
        </w:rPr>
        <w:t>une procédure d</w:t>
      </w:r>
      <w:r w:rsidR="00606C7B">
        <w:rPr>
          <w:color w:val="000000"/>
          <w:szCs w:val="24"/>
          <w:lang w:val="fr-FR" w:eastAsia="en-GB"/>
        </w:rPr>
        <w:t>’</w:t>
      </w:r>
      <w:r w:rsidRPr="0088619D">
        <w:rPr>
          <w:color w:val="000000"/>
          <w:szCs w:val="24"/>
          <w:lang w:val="fr-FR" w:eastAsia="en-GB"/>
        </w:rPr>
        <w:t>expropriation et versement d</w:t>
      </w:r>
      <w:r w:rsidR="00606C7B">
        <w:rPr>
          <w:color w:val="000000"/>
          <w:szCs w:val="24"/>
          <w:lang w:val="fr-FR" w:eastAsia="en-GB"/>
        </w:rPr>
        <w:t>’</w:t>
      </w:r>
      <w:r w:rsidRPr="0088619D">
        <w:rPr>
          <w:color w:val="000000"/>
          <w:szCs w:val="24"/>
          <w:lang w:val="fr-FR" w:eastAsia="en-GB"/>
        </w:rPr>
        <w:t>une indemnité et demandaient un dédommagement pour la perte du terrain.</w:t>
      </w:r>
    </w:p>
    <w:p w:rsidR="006C6373" w:rsidRPr="0088619D" w:rsidRDefault="006C6373" w:rsidP="00606C7B">
      <w:pPr>
        <w:pStyle w:val="ECHRPara"/>
        <w:rPr>
          <w:color w:val="000000"/>
          <w:szCs w:val="24"/>
          <w:lang w:val="fr-FR" w:eastAsia="en-GB"/>
        </w:rPr>
      </w:pPr>
      <w:r w:rsidRPr="000A25A1">
        <w:rPr>
          <w:color w:val="000000"/>
          <w:szCs w:val="24"/>
          <w:lang w:val="fr-FR" w:eastAsia="en-GB"/>
        </w:rPr>
        <w:fldChar w:fldCharType="begin"/>
      </w:r>
      <w:r w:rsidRPr="000A25A1">
        <w:rPr>
          <w:color w:val="000000"/>
          <w:szCs w:val="24"/>
          <w:lang w:val="fr-FR" w:eastAsia="en-GB"/>
        </w:rPr>
        <w:instrText xml:space="preserve"> SEQ level0 \*arabic </w:instrText>
      </w:r>
      <w:r w:rsidRPr="000A25A1">
        <w:rPr>
          <w:color w:val="000000"/>
          <w:szCs w:val="24"/>
          <w:lang w:val="fr-FR" w:eastAsia="en-GB"/>
        </w:rPr>
        <w:fldChar w:fldCharType="separate"/>
      </w:r>
      <w:r w:rsidR="00297D64">
        <w:rPr>
          <w:noProof/>
          <w:color w:val="000000"/>
          <w:szCs w:val="24"/>
          <w:lang w:val="fr-FR" w:eastAsia="en-GB"/>
        </w:rPr>
        <w:t>10</w:t>
      </w:r>
      <w:r w:rsidRPr="000A25A1">
        <w:rPr>
          <w:color w:val="000000"/>
          <w:szCs w:val="24"/>
          <w:lang w:val="fr-FR" w:eastAsia="en-GB"/>
        </w:rPr>
        <w:fldChar w:fldCharType="end"/>
      </w:r>
      <w:r w:rsidRPr="000A25A1">
        <w:rPr>
          <w:color w:val="000000"/>
          <w:szCs w:val="24"/>
          <w:lang w:val="fr-FR" w:eastAsia="en-GB"/>
        </w:rPr>
        <w:t>.  Une expertise technique fut ordonnée par le tribunal. Selon l</w:t>
      </w:r>
      <w:r w:rsidR="00606C7B">
        <w:rPr>
          <w:color w:val="000000"/>
          <w:szCs w:val="24"/>
          <w:lang w:val="fr-FR" w:eastAsia="en-GB"/>
        </w:rPr>
        <w:t>’</w:t>
      </w:r>
      <w:r w:rsidRPr="000A25A1">
        <w:rPr>
          <w:color w:val="000000"/>
          <w:szCs w:val="24"/>
          <w:lang w:val="fr-FR" w:eastAsia="en-GB"/>
        </w:rPr>
        <w:t>expert, la valeur vénale du terrain en 1998 était de 256 220 000 ITL (environ 132 000 EUR).</w:t>
      </w:r>
    </w:p>
    <w:p w:rsidR="006C6373" w:rsidRPr="00B8777D" w:rsidRDefault="006C6373" w:rsidP="006C6373">
      <w:pPr>
        <w:pStyle w:val="ECHRPara"/>
        <w:rPr>
          <w:color w:val="000000"/>
          <w:szCs w:val="24"/>
          <w:lang w:val="fr-FR" w:eastAsia="en-GB"/>
        </w:rPr>
      </w:pPr>
      <w:r>
        <w:rPr>
          <w:color w:val="000000"/>
          <w:szCs w:val="24"/>
          <w:lang w:val="fr-FR" w:eastAsia="en-GB"/>
        </w:rPr>
        <w:fldChar w:fldCharType="begin"/>
      </w:r>
      <w:r>
        <w:rPr>
          <w:color w:val="000000"/>
          <w:szCs w:val="24"/>
          <w:lang w:val="fr-FR" w:eastAsia="en-GB"/>
        </w:rPr>
        <w:instrText xml:space="preserve"> SEQ level0 \*arabic </w:instrText>
      </w:r>
      <w:r>
        <w:rPr>
          <w:color w:val="000000"/>
          <w:szCs w:val="24"/>
          <w:lang w:val="fr-FR" w:eastAsia="en-GB"/>
        </w:rPr>
        <w:fldChar w:fldCharType="separate"/>
      </w:r>
      <w:r w:rsidR="00297D64">
        <w:rPr>
          <w:noProof/>
          <w:color w:val="000000"/>
          <w:szCs w:val="24"/>
          <w:lang w:val="fr-FR" w:eastAsia="en-GB"/>
        </w:rPr>
        <w:t>11</w:t>
      </w:r>
      <w:r>
        <w:rPr>
          <w:color w:val="000000"/>
          <w:szCs w:val="24"/>
          <w:lang w:val="fr-FR" w:eastAsia="en-GB"/>
        </w:rPr>
        <w:fldChar w:fldCharType="end"/>
      </w:r>
      <w:r>
        <w:rPr>
          <w:color w:val="000000"/>
          <w:szCs w:val="24"/>
          <w:lang w:val="fr-FR" w:eastAsia="en-GB"/>
        </w:rPr>
        <w:t>.  </w:t>
      </w:r>
      <w:r w:rsidRPr="0088619D">
        <w:rPr>
          <w:color w:val="000000"/>
          <w:szCs w:val="24"/>
          <w:lang w:val="fr-FR" w:eastAsia="en-GB"/>
        </w:rPr>
        <w:t>Par un jugement du 19 septembre 2003, le tribunal affirma que le terrain était passé à l</w:t>
      </w:r>
      <w:r w:rsidR="00606C7B">
        <w:rPr>
          <w:color w:val="000000"/>
          <w:szCs w:val="24"/>
          <w:lang w:val="fr-FR" w:eastAsia="en-GB"/>
        </w:rPr>
        <w:t>’</w:t>
      </w:r>
      <w:r w:rsidRPr="0088619D">
        <w:rPr>
          <w:color w:val="000000"/>
          <w:szCs w:val="24"/>
          <w:lang w:val="fr-FR" w:eastAsia="en-GB"/>
        </w:rPr>
        <w:t>administration par effet de l</w:t>
      </w:r>
      <w:r w:rsidR="00606C7B">
        <w:rPr>
          <w:color w:val="000000"/>
          <w:szCs w:val="24"/>
          <w:lang w:val="fr-FR" w:eastAsia="en-GB"/>
        </w:rPr>
        <w:t>’</w:t>
      </w:r>
      <w:r w:rsidRPr="0088619D">
        <w:rPr>
          <w:color w:val="000000"/>
          <w:szCs w:val="24"/>
          <w:lang w:val="fr-FR" w:eastAsia="en-GB"/>
        </w:rPr>
        <w:t>expropriation indirecte</w:t>
      </w:r>
      <w:r>
        <w:rPr>
          <w:color w:val="000000"/>
          <w:szCs w:val="24"/>
          <w:lang w:val="fr-FR" w:eastAsia="en-GB"/>
        </w:rPr>
        <w:t xml:space="preserve">. </w:t>
      </w:r>
      <w:r w:rsidRPr="00B8777D">
        <w:rPr>
          <w:color w:val="000000"/>
          <w:szCs w:val="24"/>
          <w:lang w:val="fr-FR" w:eastAsia="en-GB"/>
        </w:rPr>
        <w:t>Selon le tribunal la valeur vénale du terrain était de 281 842 000</w:t>
      </w:r>
      <w:r>
        <w:rPr>
          <w:color w:val="000000"/>
          <w:szCs w:val="24"/>
          <w:lang w:val="fr-FR" w:eastAsia="en-GB"/>
        </w:rPr>
        <w:t xml:space="preserve"> ITL</w:t>
      </w:r>
      <w:r w:rsidRPr="00B8777D">
        <w:rPr>
          <w:color w:val="000000"/>
          <w:szCs w:val="24"/>
          <w:lang w:val="fr-FR" w:eastAsia="en-GB"/>
        </w:rPr>
        <w:t> ; toutefois, compte tenu de ce que le terrain était grevé d</w:t>
      </w:r>
      <w:r w:rsidR="00606C7B">
        <w:rPr>
          <w:color w:val="000000"/>
          <w:szCs w:val="24"/>
          <w:lang w:val="fr-FR" w:eastAsia="en-GB"/>
        </w:rPr>
        <w:t>’</w:t>
      </w:r>
      <w:r w:rsidRPr="00B8777D">
        <w:rPr>
          <w:color w:val="000000"/>
          <w:szCs w:val="24"/>
          <w:lang w:val="fr-FR" w:eastAsia="en-GB"/>
        </w:rPr>
        <w:t>une servitude d</w:t>
      </w:r>
      <w:r w:rsidR="00606C7B">
        <w:rPr>
          <w:color w:val="000000"/>
          <w:szCs w:val="24"/>
          <w:lang w:val="fr-FR" w:eastAsia="en-GB"/>
        </w:rPr>
        <w:t>’</w:t>
      </w:r>
      <w:r w:rsidRPr="00B8777D">
        <w:rPr>
          <w:color w:val="000000"/>
          <w:szCs w:val="24"/>
          <w:lang w:val="fr-FR" w:eastAsia="en-GB"/>
        </w:rPr>
        <w:t xml:space="preserve">usage et, plus particulièrement, </w:t>
      </w:r>
      <w:r>
        <w:rPr>
          <w:color w:val="000000"/>
          <w:szCs w:val="24"/>
          <w:lang w:val="fr-FR" w:eastAsia="en-GB"/>
        </w:rPr>
        <w:t>d</w:t>
      </w:r>
      <w:r w:rsidR="00606C7B">
        <w:rPr>
          <w:color w:val="000000"/>
          <w:szCs w:val="24"/>
          <w:lang w:val="fr-FR" w:eastAsia="en-GB"/>
        </w:rPr>
        <w:t>’</w:t>
      </w:r>
      <w:r w:rsidRPr="00B8777D">
        <w:rPr>
          <w:color w:val="000000"/>
          <w:szCs w:val="24"/>
          <w:lang w:val="fr-FR" w:eastAsia="en-GB"/>
        </w:rPr>
        <w:t>une « servitude de pâturage, », la valeur vénale était de</w:t>
      </w:r>
      <w:r>
        <w:rPr>
          <w:color w:val="000000"/>
          <w:szCs w:val="24"/>
          <w:lang w:val="fr-FR" w:eastAsia="en-GB"/>
        </w:rPr>
        <w:t xml:space="preserve"> 277 490 000</w:t>
      </w:r>
      <w:r w:rsidRPr="00B8777D">
        <w:rPr>
          <w:color w:val="000000"/>
          <w:szCs w:val="24"/>
          <w:lang w:val="fr-FR" w:eastAsia="en-GB"/>
        </w:rPr>
        <w:t xml:space="preserve"> ITL</w:t>
      </w:r>
      <w:r>
        <w:rPr>
          <w:color w:val="000000"/>
          <w:szCs w:val="24"/>
          <w:lang w:val="fr-FR" w:eastAsia="en-GB"/>
        </w:rPr>
        <w:t xml:space="preserve"> (</w:t>
      </w:r>
      <w:r w:rsidRPr="00B8777D">
        <w:rPr>
          <w:color w:val="000000"/>
          <w:szCs w:val="24"/>
          <w:lang w:val="fr-FR" w:eastAsia="en-GB"/>
        </w:rPr>
        <w:t>143 311,62 EUR</w:t>
      </w:r>
      <w:r>
        <w:rPr>
          <w:color w:val="000000"/>
          <w:szCs w:val="24"/>
          <w:lang w:val="fr-FR" w:eastAsia="en-GB"/>
        </w:rPr>
        <w:t>)</w:t>
      </w:r>
      <w:r w:rsidRPr="00B8777D">
        <w:rPr>
          <w:color w:val="000000"/>
          <w:szCs w:val="24"/>
          <w:lang w:val="fr-FR" w:eastAsia="en-GB"/>
        </w:rPr>
        <w:t>.</w:t>
      </w:r>
    </w:p>
    <w:p w:rsidR="006C6373" w:rsidRDefault="006C6373" w:rsidP="006C6373">
      <w:pPr>
        <w:pStyle w:val="ECHRPara"/>
        <w:rPr>
          <w:color w:val="000000"/>
          <w:szCs w:val="24"/>
          <w:lang w:val="fr-FR" w:eastAsia="en-GB"/>
        </w:rPr>
      </w:pPr>
      <w:r>
        <w:rPr>
          <w:color w:val="000000"/>
          <w:szCs w:val="24"/>
          <w:lang w:val="fr-FR" w:eastAsia="en-GB"/>
        </w:rPr>
        <w:fldChar w:fldCharType="begin"/>
      </w:r>
      <w:r>
        <w:rPr>
          <w:color w:val="000000"/>
          <w:szCs w:val="24"/>
          <w:lang w:val="fr-FR" w:eastAsia="en-GB"/>
        </w:rPr>
        <w:instrText xml:space="preserve"> SEQ level0 \*arabic </w:instrText>
      </w:r>
      <w:r>
        <w:rPr>
          <w:color w:val="000000"/>
          <w:szCs w:val="24"/>
          <w:lang w:val="fr-FR" w:eastAsia="en-GB"/>
        </w:rPr>
        <w:fldChar w:fldCharType="separate"/>
      </w:r>
      <w:r w:rsidR="00297D64">
        <w:rPr>
          <w:noProof/>
          <w:color w:val="000000"/>
          <w:szCs w:val="24"/>
          <w:lang w:val="fr-FR" w:eastAsia="en-GB"/>
        </w:rPr>
        <w:t>12</w:t>
      </w:r>
      <w:r>
        <w:rPr>
          <w:color w:val="000000"/>
          <w:szCs w:val="24"/>
          <w:lang w:val="fr-FR" w:eastAsia="en-GB"/>
        </w:rPr>
        <w:fldChar w:fldCharType="end"/>
      </w:r>
      <w:r>
        <w:rPr>
          <w:color w:val="000000"/>
          <w:szCs w:val="24"/>
          <w:lang w:val="fr-FR" w:eastAsia="en-GB"/>
        </w:rPr>
        <w:t xml:space="preserve">.  Le tribunal </w:t>
      </w:r>
      <w:r w:rsidRPr="0088619D">
        <w:rPr>
          <w:color w:val="000000"/>
          <w:szCs w:val="24"/>
          <w:lang w:val="fr-FR" w:eastAsia="en-GB"/>
        </w:rPr>
        <w:t>condamna l</w:t>
      </w:r>
      <w:r w:rsidR="00606C7B">
        <w:rPr>
          <w:color w:val="000000"/>
          <w:szCs w:val="24"/>
          <w:lang w:val="fr-FR" w:eastAsia="en-GB"/>
        </w:rPr>
        <w:t>’</w:t>
      </w:r>
      <w:r w:rsidRPr="0088619D">
        <w:rPr>
          <w:color w:val="000000"/>
          <w:szCs w:val="24"/>
          <w:lang w:val="fr-FR" w:eastAsia="en-GB"/>
        </w:rPr>
        <w:t xml:space="preserve">administration à payer aux requérantes </w:t>
      </w:r>
      <w:r>
        <w:rPr>
          <w:color w:val="000000"/>
          <w:szCs w:val="24"/>
          <w:lang w:val="fr-FR" w:eastAsia="en-GB"/>
        </w:rPr>
        <w:t>une indemnité d</w:t>
      </w:r>
      <w:r w:rsidR="00606C7B">
        <w:rPr>
          <w:color w:val="000000"/>
          <w:szCs w:val="24"/>
          <w:lang w:val="fr-FR" w:eastAsia="en-GB"/>
        </w:rPr>
        <w:t>’</w:t>
      </w:r>
      <w:r>
        <w:rPr>
          <w:color w:val="000000"/>
          <w:szCs w:val="24"/>
          <w:lang w:val="fr-FR" w:eastAsia="en-GB"/>
        </w:rPr>
        <w:t>expropriation</w:t>
      </w:r>
      <w:r w:rsidRPr="00181E32">
        <w:rPr>
          <w:lang w:val="fr-FR"/>
        </w:rPr>
        <w:t xml:space="preserve"> </w:t>
      </w:r>
      <w:r w:rsidRPr="00181E32">
        <w:rPr>
          <w:color w:val="000000"/>
          <w:szCs w:val="24"/>
          <w:lang w:val="fr-FR" w:eastAsia="en-GB"/>
        </w:rPr>
        <w:t>correspondante à la valeur marchande du terrain</w:t>
      </w:r>
      <w:r>
        <w:rPr>
          <w:color w:val="000000"/>
          <w:szCs w:val="24"/>
          <w:lang w:val="fr-FR" w:eastAsia="en-GB"/>
        </w:rPr>
        <w:t xml:space="preserve"> en 1992</w:t>
      </w:r>
      <w:r w:rsidRPr="00181E32">
        <w:rPr>
          <w:color w:val="000000"/>
          <w:szCs w:val="24"/>
          <w:lang w:val="fr-FR" w:eastAsia="en-GB"/>
        </w:rPr>
        <w:t>, à savoir</w:t>
      </w:r>
      <w:r w:rsidRPr="0088619D">
        <w:rPr>
          <w:color w:val="000000"/>
          <w:szCs w:val="24"/>
          <w:lang w:val="fr-FR" w:eastAsia="en-GB"/>
        </w:rPr>
        <w:t xml:space="preserve"> 143 311,62 EUR, plus </w:t>
      </w:r>
      <w:r w:rsidRPr="0088619D">
        <w:rPr>
          <w:color w:val="000000"/>
          <w:lang w:val="fr-FR"/>
        </w:rPr>
        <w:t>31 626,71 EUR pour indemnité d</w:t>
      </w:r>
      <w:r w:rsidR="00606C7B">
        <w:rPr>
          <w:color w:val="000000"/>
          <w:lang w:val="fr-FR"/>
        </w:rPr>
        <w:t>’</w:t>
      </w:r>
      <w:r w:rsidRPr="0088619D">
        <w:rPr>
          <w:color w:val="000000"/>
          <w:lang w:val="fr-FR"/>
        </w:rPr>
        <w:t>occupation</w:t>
      </w:r>
      <w:r w:rsidRPr="0088619D">
        <w:rPr>
          <w:color w:val="000000"/>
          <w:szCs w:val="24"/>
          <w:lang w:val="fr-FR" w:eastAsia="en-GB"/>
        </w:rPr>
        <w:t>. Ces sommes devaient être réévaluées et assorties d</w:t>
      </w:r>
      <w:r w:rsidR="00606C7B">
        <w:rPr>
          <w:color w:val="000000"/>
          <w:szCs w:val="24"/>
          <w:lang w:val="fr-FR" w:eastAsia="en-GB"/>
        </w:rPr>
        <w:t>’</w:t>
      </w:r>
      <w:r w:rsidRPr="0088619D">
        <w:rPr>
          <w:color w:val="000000"/>
          <w:szCs w:val="24"/>
          <w:lang w:val="fr-FR" w:eastAsia="en-GB"/>
        </w:rPr>
        <w:t>intérêts.</w:t>
      </w:r>
    </w:p>
    <w:p w:rsidR="006C6373" w:rsidRPr="00494A57" w:rsidRDefault="006C6373" w:rsidP="006C6373">
      <w:pPr>
        <w:pStyle w:val="ECHRPara"/>
        <w:rPr>
          <w:lang w:val="fr-FR"/>
        </w:rPr>
      </w:pPr>
      <w:r>
        <w:rPr>
          <w:color w:val="000000"/>
          <w:szCs w:val="24"/>
          <w:lang w:val="fr-FR" w:eastAsia="en-GB"/>
        </w:rPr>
        <w:fldChar w:fldCharType="begin"/>
      </w:r>
      <w:r>
        <w:rPr>
          <w:color w:val="000000"/>
          <w:szCs w:val="24"/>
          <w:lang w:val="fr-FR" w:eastAsia="en-GB"/>
        </w:rPr>
        <w:instrText xml:space="preserve"> SEQ level0 \*arabic </w:instrText>
      </w:r>
      <w:r>
        <w:rPr>
          <w:color w:val="000000"/>
          <w:szCs w:val="24"/>
          <w:lang w:val="fr-FR" w:eastAsia="en-GB"/>
        </w:rPr>
        <w:fldChar w:fldCharType="separate"/>
      </w:r>
      <w:r w:rsidR="00297D64">
        <w:rPr>
          <w:noProof/>
          <w:color w:val="000000"/>
          <w:szCs w:val="24"/>
          <w:lang w:val="fr-FR" w:eastAsia="en-GB"/>
        </w:rPr>
        <w:t>13</w:t>
      </w:r>
      <w:r>
        <w:rPr>
          <w:color w:val="000000"/>
          <w:szCs w:val="24"/>
          <w:lang w:val="fr-FR" w:eastAsia="en-GB"/>
        </w:rPr>
        <w:fldChar w:fldCharType="end"/>
      </w:r>
      <w:r>
        <w:rPr>
          <w:color w:val="000000"/>
          <w:szCs w:val="24"/>
          <w:lang w:val="fr-FR" w:eastAsia="en-GB"/>
        </w:rPr>
        <w:t>.  Il ressort du dossier que c</w:t>
      </w:r>
      <w:r w:rsidRPr="00494A57">
        <w:rPr>
          <w:color w:val="000000"/>
          <w:szCs w:val="24"/>
          <w:lang w:val="fr-FR" w:eastAsia="en-GB"/>
        </w:rPr>
        <w:t xml:space="preserve">e jugement </w:t>
      </w:r>
      <w:r w:rsidRPr="00494A57">
        <w:rPr>
          <w:rFonts w:ascii="Times New Roman" w:hAnsi="Times New Roman" w:cs="Times New Roman"/>
          <w:color w:val="000000"/>
          <w:lang w:val="fr-FR"/>
        </w:rPr>
        <w:t>acquit force de chose jugée le 1</w:t>
      </w:r>
      <w:r w:rsidRPr="00494A57">
        <w:rPr>
          <w:rFonts w:ascii="Times New Roman" w:hAnsi="Times New Roman" w:cs="Times New Roman"/>
          <w:color w:val="000000"/>
          <w:position w:val="6"/>
          <w:vertAlign w:val="superscript"/>
          <w:lang w:val="fr-FR"/>
        </w:rPr>
        <w:t>er</w:t>
      </w:r>
      <w:r w:rsidRPr="00494A57">
        <w:rPr>
          <w:rFonts w:ascii="Times New Roman" w:hAnsi="Times New Roman" w:cs="Times New Roman"/>
          <w:color w:val="000000"/>
          <w:lang w:val="fr-FR"/>
        </w:rPr>
        <w:t xml:space="preserve"> octobre 2004</w:t>
      </w:r>
      <w:r w:rsidRPr="00494A57">
        <w:rPr>
          <w:color w:val="000000"/>
          <w:szCs w:val="24"/>
          <w:lang w:val="fr-FR" w:eastAsia="en-GB"/>
        </w:rPr>
        <w:t>.</w:t>
      </w:r>
    </w:p>
    <w:p w:rsidR="006C6373" w:rsidRPr="005E37C6" w:rsidRDefault="006C6373" w:rsidP="006C6373">
      <w:pPr>
        <w:pStyle w:val="ECHRHeading1"/>
        <w:rPr>
          <w:lang w:val="fr-FR"/>
        </w:rPr>
      </w:pPr>
      <w:r w:rsidRPr="005E37C6">
        <w:rPr>
          <w:lang w:val="fr-FR"/>
        </w:rPr>
        <w:t>II.  LE DROIT ET LA PRATIQUE INTERNES PERTINENTS</w:t>
      </w:r>
    </w:p>
    <w:p w:rsidR="006C6373" w:rsidRPr="005644C0" w:rsidRDefault="006C6373" w:rsidP="006C6373">
      <w:pPr>
        <w:pStyle w:val="ECHRPara"/>
        <w:rPr>
          <w:snapToGrid w:val="0"/>
          <w:lang w:val="fr-FR"/>
        </w:rPr>
      </w:pPr>
      <w:r>
        <w:fldChar w:fldCharType="begin"/>
      </w:r>
      <w:r w:rsidRPr="005644C0">
        <w:rPr>
          <w:lang w:val="fr-FR"/>
        </w:rPr>
        <w:instrText xml:space="preserve"> SEQ level0 \*arabic </w:instrText>
      </w:r>
      <w:r>
        <w:fldChar w:fldCharType="separate"/>
      </w:r>
      <w:r w:rsidR="00297D64">
        <w:rPr>
          <w:noProof/>
          <w:lang w:val="fr-FR"/>
        </w:rPr>
        <w:t>14</w:t>
      </w:r>
      <w:r>
        <w:rPr>
          <w:noProof/>
        </w:rPr>
        <w:fldChar w:fldCharType="end"/>
      </w:r>
      <w:r w:rsidRPr="005644C0">
        <w:rPr>
          <w:lang w:val="fr-FR"/>
        </w:rPr>
        <w:t>.  Le droit interne pertinent relatif à l</w:t>
      </w:r>
      <w:r w:rsidR="00606C7B">
        <w:rPr>
          <w:lang w:val="fr-FR"/>
        </w:rPr>
        <w:t>’</w:t>
      </w:r>
      <w:r w:rsidRPr="005644C0">
        <w:rPr>
          <w:lang w:val="fr-FR"/>
        </w:rPr>
        <w:t>expropriation indirecte se trouve décrit dans l</w:t>
      </w:r>
      <w:r w:rsidR="00606C7B">
        <w:rPr>
          <w:lang w:val="fr-FR"/>
        </w:rPr>
        <w:t>’</w:t>
      </w:r>
      <w:r w:rsidRPr="005644C0">
        <w:rPr>
          <w:lang w:val="fr-FR"/>
        </w:rPr>
        <w:t>arrêt</w:t>
      </w:r>
      <w:r w:rsidRPr="005644C0">
        <w:rPr>
          <w:i/>
          <w:szCs w:val="24"/>
          <w:lang w:val="fr-FR"/>
        </w:rPr>
        <w:t xml:space="preserve"> </w:t>
      </w:r>
      <w:proofErr w:type="spellStart"/>
      <w:r w:rsidRPr="005644C0">
        <w:rPr>
          <w:i/>
          <w:lang w:val="fr-FR"/>
        </w:rPr>
        <w:t>Guiso-Gallisay</w:t>
      </w:r>
      <w:proofErr w:type="spellEnd"/>
      <w:r w:rsidRPr="005644C0">
        <w:rPr>
          <w:i/>
          <w:lang w:val="fr-FR"/>
        </w:rPr>
        <w:t xml:space="preserve"> c. Italie </w:t>
      </w:r>
      <w:r w:rsidRPr="005644C0">
        <w:rPr>
          <w:lang w:val="fr-FR"/>
        </w:rPr>
        <w:t>(satisfaction équitable) [GC], n</w:t>
      </w:r>
      <w:r w:rsidRPr="005644C0">
        <w:rPr>
          <w:vertAlign w:val="superscript"/>
          <w:lang w:val="fr-FR"/>
        </w:rPr>
        <w:t>o</w:t>
      </w:r>
      <w:r w:rsidRPr="005644C0">
        <w:rPr>
          <w:lang w:val="fr-FR"/>
        </w:rPr>
        <w:t> 58858/00</w:t>
      </w:r>
      <w:r w:rsidRPr="005644C0">
        <w:rPr>
          <w:snapToGrid w:val="0"/>
          <w:lang w:val="fr-FR"/>
        </w:rPr>
        <w:t xml:space="preserve">, 22 </w:t>
      </w:r>
      <w:r w:rsidRPr="005644C0">
        <w:rPr>
          <w:lang w:val="fr-FR"/>
        </w:rPr>
        <w:t>décembre</w:t>
      </w:r>
      <w:r w:rsidRPr="005644C0">
        <w:rPr>
          <w:snapToGrid w:val="0"/>
          <w:lang w:val="fr-FR"/>
        </w:rPr>
        <w:t xml:space="preserve"> 2009.</w:t>
      </w:r>
    </w:p>
    <w:p w:rsidR="006C6373" w:rsidRPr="00440876" w:rsidRDefault="006C6373" w:rsidP="006C6373">
      <w:pPr>
        <w:pStyle w:val="ECHRTitle1"/>
        <w:rPr>
          <w:lang w:val="fr-FR"/>
        </w:rPr>
      </w:pPr>
      <w:r w:rsidRPr="00440876">
        <w:rPr>
          <w:lang w:val="fr-FR"/>
        </w:rPr>
        <w:t>EN DROIT</w:t>
      </w:r>
    </w:p>
    <w:p w:rsidR="006C6373" w:rsidRDefault="006C6373" w:rsidP="006C6373">
      <w:pPr>
        <w:pStyle w:val="ECHRHeading1"/>
        <w:rPr>
          <w:lang w:val="fr-FR"/>
        </w:rPr>
      </w:pPr>
      <w:r w:rsidRPr="00440876">
        <w:rPr>
          <w:lang w:val="fr-FR"/>
        </w:rPr>
        <w:t>I.  SUR LA VIOLATION ALLÉGUÉE DE L</w:t>
      </w:r>
      <w:r w:rsidR="00606C7B">
        <w:rPr>
          <w:lang w:val="fr-FR"/>
        </w:rPr>
        <w:t>’</w:t>
      </w:r>
      <w:r w:rsidRPr="00440876">
        <w:rPr>
          <w:lang w:val="fr-FR"/>
        </w:rPr>
        <w:t>ARTICLE 1 DU PROTOCOLE N</w:t>
      </w:r>
      <w:r w:rsidRPr="006C6373">
        <w:rPr>
          <w:vertAlign w:val="superscript"/>
          <w:lang w:val="fr-FR"/>
        </w:rPr>
        <w:t>o</w:t>
      </w:r>
      <w:r w:rsidR="00297D64">
        <w:rPr>
          <w:vertAlign w:val="superscript"/>
          <w:lang w:val="fr-FR"/>
        </w:rPr>
        <w:t xml:space="preserve"> </w:t>
      </w:r>
      <w:r w:rsidRPr="00440876">
        <w:rPr>
          <w:lang w:val="fr-FR"/>
        </w:rPr>
        <w:t>1</w:t>
      </w:r>
    </w:p>
    <w:p w:rsidR="006C6373" w:rsidRPr="00440876" w:rsidRDefault="006C6373" w:rsidP="006C6373">
      <w:pPr>
        <w:pStyle w:val="ECHRPara"/>
        <w:rPr>
          <w:lang w:val="fr-FR"/>
        </w:rPr>
      </w:pPr>
      <w:r>
        <w:fldChar w:fldCharType="begin"/>
      </w:r>
      <w:r w:rsidRPr="00440876">
        <w:rPr>
          <w:lang w:val="fr-FR"/>
        </w:rPr>
        <w:instrText xml:space="preserve"> SEQ level0 \*arabic </w:instrText>
      </w:r>
      <w:r>
        <w:fldChar w:fldCharType="separate"/>
      </w:r>
      <w:r w:rsidR="00297D64">
        <w:rPr>
          <w:noProof/>
          <w:lang w:val="fr-FR"/>
        </w:rPr>
        <w:t>15</w:t>
      </w:r>
      <w:r>
        <w:rPr>
          <w:noProof/>
        </w:rPr>
        <w:fldChar w:fldCharType="end"/>
      </w:r>
      <w:r w:rsidRPr="00440876">
        <w:rPr>
          <w:lang w:val="fr-FR"/>
        </w:rPr>
        <w:t xml:space="preserve">.   </w:t>
      </w:r>
      <w:r>
        <w:rPr>
          <w:lang w:val="fr-FR"/>
        </w:rPr>
        <w:t xml:space="preserve">Les requérantes </w:t>
      </w:r>
      <w:r w:rsidRPr="00440876">
        <w:rPr>
          <w:lang w:val="fr-FR"/>
        </w:rPr>
        <w:t>allègue</w:t>
      </w:r>
      <w:r>
        <w:rPr>
          <w:lang w:val="fr-FR"/>
        </w:rPr>
        <w:t>nt</w:t>
      </w:r>
      <w:r w:rsidRPr="00440876">
        <w:rPr>
          <w:lang w:val="fr-FR"/>
        </w:rPr>
        <w:t xml:space="preserve"> avoir été privée</w:t>
      </w:r>
      <w:r>
        <w:rPr>
          <w:lang w:val="fr-FR"/>
        </w:rPr>
        <w:t>s</w:t>
      </w:r>
      <w:r w:rsidRPr="00440876">
        <w:rPr>
          <w:lang w:val="fr-FR"/>
        </w:rPr>
        <w:t xml:space="preserve"> de </w:t>
      </w:r>
      <w:r>
        <w:rPr>
          <w:lang w:val="fr-FR"/>
        </w:rPr>
        <w:t>leur</w:t>
      </w:r>
      <w:r w:rsidRPr="00440876">
        <w:rPr>
          <w:lang w:val="fr-FR"/>
        </w:rPr>
        <w:t xml:space="preserve"> terrain de manière incompatible avec l</w:t>
      </w:r>
      <w:r w:rsidR="00606C7B">
        <w:rPr>
          <w:lang w:val="fr-FR"/>
        </w:rPr>
        <w:t>’</w:t>
      </w:r>
      <w:r w:rsidRPr="00440876">
        <w:rPr>
          <w:lang w:val="fr-FR"/>
        </w:rPr>
        <w:t>article 1 du Protocole n</w:t>
      </w:r>
      <w:r w:rsidRPr="006C6373">
        <w:rPr>
          <w:vertAlign w:val="superscript"/>
          <w:lang w:val="fr-FR"/>
        </w:rPr>
        <w:t>o</w:t>
      </w:r>
      <w:r w:rsidRPr="00440876">
        <w:rPr>
          <w:lang w:val="fr-FR"/>
        </w:rPr>
        <w:t xml:space="preserve"> 1, ainsi libellé :</w:t>
      </w:r>
    </w:p>
    <w:p w:rsidR="006C6373" w:rsidRPr="00440876" w:rsidRDefault="006C6373" w:rsidP="006C6373">
      <w:pPr>
        <w:pStyle w:val="ECHRParaQuote"/>
        <w:rPr>
          <w:lang w:val="fr-FR"/>
        </w:rPr>
      </w:pPr>
      <w:r w:rsidRPr="00440876">
        <w:rPr>
          <w:lang w:val="fr-FR"/>
        </w:rPr>
        <w:t>« Toute personne physique ou morale a droit au respect de ses biens. Nul ne peut être privé de sa propriété que pour cause d</w:t>
      </w:r>
      <w:r w:rsidR="00606C7B">
        <w:rPr>
          <w:lang w:val="fr-FR"/>
        </w:rPr>
        <w:t>’</w:t>
      </w:r>
      <w:r w:rsidRPr="00440876">
        <w:rPr>
          <w:lang w:val="fr-FR"/>
        </w:rPr>
        <w:t>utilité publique et dans les conditions prévues par la loi et les principes généraux du droit international.</w:t>
      </w:r>
    </w:p>
    <w:p w:rsidR="006C6373" w:rsidRPr="00440876" w:rsidRDefault="006C6373" w:rsidP="006C6373">
      <w:pPr>
        <w:pStyle w:val="ECHRParaQuote"/>
        <w:rPr>
          <w:lang w:val="fr-FR"/>
        </w:rPr>
      </w:pPr>
      <w:r w:rsidRPr="00440876">
        <w:rPr>
          <w:lang w:val="fr-FR"/>
        </w:rPr>
        <w:t>Les dispositions précédentes ne portent pas atteinte au droit que possèdent les États de mettre en vigueur les lois qu</w:t>
      </w:r>
      <w:r w:rsidR="00606C7B">
        <w:rPr>
          <w:lang w:val="fr-FR"/>
        </w:rPr>
        <w:t>’</w:t>
      </w:r>
      <w:r w:rsidRPr="00440876">
        <w:rPr>
          <w:lang w:val="fr-FR"/>
        </w:rPr>
        <w:t>ils jugent nécessaires pour réglementer l</w:t>
      </w:r>
      <w:r w:rsidR="00606C7B">
        <w:rPr>
          <w:lang w:val="fr-FR"/>
        </w:rPr>
        <w:t>’</w:t>
      </w:r>
      <w:r w:rsidRPr="00440876">
        <w:rPr>
          <w:lang w:val="fr-FR"/>
        </w:rPr>
        <w:t>usage des biens conformément à l</w:t>
      </w:r>
      <w:r w:rsidR="00606C7B">
        <w:rPr>
          <w:lang w:val="fr-FR"/>
        </w:rPr>
        <w:t>’</w:t>
      </w:r>
      <w:r w:rsidRPr="00440876">
        <w:rPr>
          <w:lang w:val="fr-FR"/>
        </w:rPr>
        <w:t>intérêt général ou pour assurer le paiement des impôts ou d</w:t>
      </w:r>
      <w:r w:rsidR="00606C7B">
        <w:rPr>
          <w:lang w:val="fr-FR"/>
        </w:rPr>
        <w:t>’</w:t>
      </w:r>
      <w:r w:rsidRPr="00440876">
        <w:rPr>
          <w:lang w:val="fr-FR"/>
        </w:rPr>
        <w:t>autres contributions ou des amendes. »</w:t>
      </w:r>
    </w:p>
    <w:p w:rsidR="006C6373" w:rsidRPr="00606C7B" w:rsidRDefault="006C6373" w:rsidP="00606C7B">
      <w:pPr>
        <w:pStyle w:val="ECHRHeading2"/>
      </w:pPr>
      <w:r w:rsidRPr="00606C7B">
        <w:lastRenderedPageBreak/>
        <w:t xml:space="preserve">A.  Sur la </w:t>
      </w:r>
      <w:proofErr w:type="spellStart"/>
      <w:r w:rsidRPr="00606C7B">
        <w:t>recevabilité</w:t>
      </w:r>
      <w:proofErr w:type="spellEnd"/>
    </w:p>
    <w:p w:rsidR="006C6373" w:rsidRDefault="006C6373" w:rsidP="006C6373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297D64">
        <w:rPr>
          <w:noProof/>
          <w:lang w:val="fr-FR"/>
        </w:rPr>
        <w:t>16</w:t>
      </w:r>
      <w:r>
        <w:rPr>
          <w:lang w:val="fr-FR"/>
        </w:rPr>
        <w:fldChar w:fldCharType="end"/>
      </w:r>
      <w:r>
        <w:rPr>
          <w:lang w:val="fr-FR"/>
        </w:rPr>
        <w:t>.  Le Gouvernement avance que les</w:t>
      </w:r>
      <w:r w:rsidRPr="004904CC">
        <w:rPr>
          <w:lang w:val="fr-FR"/>
        </w:rPr>
        <w:t xml:space="preserve"> requérante</w:t>
      </w:r>
      <w:r>
        <w:rPr>
          <w:lang w:val="fr-FR"/>
        </w:rPr>
        <w:t>s</w:t>
      </w:r>
      <w:r w:rsidRPr="004904CC">
        <w:rPr>
          <w:lang w:val="fr-FR"/>
        </w:rPr>
        <w:t xml:space="preserve"> n</w:t>
      </w:r>
      <w:r>
        <w:rPr>
          <w:lang w:val="fr-FR"/>
        </w:rPr>
        <w:t>e sont</w:t>
      </w:r>
      <w:r w:rsidRPr="004904CC">
        <w:rPr>
          <w:lang w:val="fr-FR"/>
        </w:rPr>
        <w:t xml:space="preserve"> plus « victime</w:t>
      </w:r>
      <w:r>
        <w:rPr>
          <w:lang w:val="fr-FR"/>
        </w:rPr>
        <w:t>s</w:t>
      </w:r>
      <w:r w:rsidRPr="004904CC">
        <w:rPr>
          <w:lang w:val="fr-FR"/>
        </w:rPr>
        <w:t> » de la violation alléguée puisqu</w:t>
      </w:r>
      <w:r w:rsidR="00606C7B">
        <w:rPr>
          <w:lang w:val="fr-FR"/>
        </w:rPr>
        <w:t>’</w:t>
      </w:r>
      <w:r w:rsidRPr="004904CC">
        <w:rPr>
          <w:lang w:val="fr-FR"/>
        </w:rPr>
        <w:t>elle</w:t>
      </w:r>
      <w:r>
        <w:rPr>
          <w:lang w:val="fr-FR"/>
        </w:rPr>
        <w:t>s</w:t>
      </w:r>
      <w:r w:rsidRPr="004904CC">
        <w:rPr>
          <w:lang w:val="fr-FR"/>
        </w:rPr>
        <w:t xml:space="preserve"> </w:t>
      </w:r>
      <w:r>
        <w:rPr>
          <w:lang w:val="fr-FR"/>
        </w:rPr>
        <w:t>ont</w:t>
      </w:r>
      <w:r w:rsidRPr="004904CC">
        <w:rPr>
          <w:lang w:val="fr-FR"/>
        </w:rPr>
        <w:t xml:space="preserve"> obtenu </w:t>
      </w:r>
      <w:r>
        <w:rPr>
          <w:lang w:val="fr-FR"/>
        </w:rPr>
        <w:t xml:space="preserve">du Tribunal de </w:t>
      </w:r>
      <w:proofErr w:type="spellStart"/>
      <w:r>
        <w:rPr>
          <w:lang w:val="fr-FR"/>
        </w:rPr>
        <w:t>Velletri</w:t>
      </w:r>
      <w:proofErr w:type="spellEnd"/>
      <w:r w:rsidRPr="004904CC">
        <w:rPr>
          <w:lang w:val="fr-FR"/>
        </w:rPr>
        <w:t xml:space="preserve"> un dédommagement correspondant à la valeur vénale du terrain exproprié.</w:t>
      </w:r>
    </w:p>
    <w:p w:rsidR="006C6373" w:rsidRDefault="006C6373" w:rsidP="006C6373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297D64">
        <w:rPr>
          <w:noProof/>
          <w:lang w:val="fr-FR"/>
        </w:rPr>
        <w:t>17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Pr="00574C8C">
        <w:rPr>
          <w:lang w:val="fr-FR"/>
        </w:rPr>
        <w:t>Les requérant</w:t>
      </w:r>
      <w:r>
        <w:rPr>
          <w:lang w:val="fr-FR"/>
        </w:rPr>
        <w:t>e</w:t>
      </w:r>
      <w:r w:rsidRPr="00574C8C">
        <w:rPr>
          <w:lang w:val="fr-FR"/>
        </w:rPr>
        <w:t>s demandent le rejet de cette exception.</w:t>
      </w:r>
    </w:p>
    <w:p w:rsidR="006C6373" w:rsidRPr="004904CC" w:rsidRDefault="006C6373" w:rsidP="006C6373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297D64">
        <w:rPr>
          <w:noProof/>
          <w:lang w:val="fr-FR"/>
        </w:rPr>
        <w:t>18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Pr="00CD55AC">
        <w:rPr>
          <w:lang w:val="fr-FR"/>
        </w:rPr>
        <w:t>La Cour estime, à la lumière de l</w:t>
      </w:r>
      <w:r w:rsidR="00606C7B">
        <w:rPr>
          <w:lang w:val="fr-FR"/>
        </w:rPr>
        <w:t>’</w:t>
      </w:r>
      <w:r w:rsidRPr="00CD55AC">
        <w:rPr>
          <w:lang w:val="fr-FR"/>
        </w:rPr>
        <w:t>ensemble des arguments des parties, que cette exception est étroitement liée au fond de la requête et décide de la joindre au fond. Elle constate que la requête n</w:t>
      </w:r>
      <w:r w:rsidR="00606C7B">
        <w:rPr>
          <w:lang w:val="fr-FR"/>
        </w:rPr>
        <w:t>’</w:t>
      </w:r>
      <w:r w:rsidRPr="00CD55AC">
        <w:rPr>
          <w:lang w:val="fr-FR"/>
        </w:rPr>
        <w:t xml:space="preserve">est pas </w:t>
      </w:r>
      <w:r w:rsidRPr="002E5CE7">
        <w:rPr>
          <w:lang w:val="fr-FR"/>
        </w:rPr>
        <w:t>manifestement mal fondée au sens de l</w:t>
      </w:r>
      <w:r w:rsidR="00606C7B">
        <w:rPr>
          <w:lang w:val="fr-FR"/>
        </w:rPr>
        <w:t>’</w:t>
      </w:r>
      <w:r w:rsidRPr="002E5CE7">
        <w:rPr>
          <w:lang w:val="fr-FR"/>
        </w:rPr>
        <w:t>article 35 § 3 de la Convention. Elle relève par ailleurs que celle-ci ne se heurte à aucun autre motif d</w:t>
      </w:r>
      <w:r w:rsidR="00606C7B">
        <w:rPr>
          <w:lang w:val="fr-FR"/>
        </w:rPr>
        <w:t>’</w:t>
      </w:r>
      <w:r w:rsidRPr="002E5CE7">
        <w:rPr>
          <w:lang w:val="fr-FR"/>
        </w:rPr>
        <w:t>irrecevabilité.</w:t>
      </w:r>
    </w:p>
    <w:p w:rsidR="006C6373" w:rsidRPr="00606C7B" w:rsidRDefault="006C6373" w:rsidP="00606C7B">
      <w:pPr>
        <w:pStyle w:val="ECHRHeading2"/>
      </w:pPr>
      <w:r w:rsidRPr="00606C7B">
        <w:t>B.  Sur le fond</w:t>
      </w:r>
    </w:p>
    <w:p w:rsidR="006C6373" w:rsidRPr="004904CC" w:rsidRDefault="006C6373" w:rsidP="006C6373">
      <w:pPr>
        <w:pStyle w:val="ECHRPara"/>
        <w:rPr>
          <w:lang w:val="fr-FR"/>
        </w:rPr>
      </w:pPr>
      <w:r>
        <w:fldChar w:fldCharType="begin"/>
      </w:r>
      <w:r w:rsidRPr="004904CC">
        <w:rPr>
          <w:lang w:val="fr-FR"/>
        </w:rPr>
        <w:instrText xml:space="preserve"> SEQ level0 \*arabic </w:instrText>
      </w:r>
      <w:r>
        <w:fldChar w:fldCharType="separate"/>
      </w:r>
      <w:r w:rsidR="00297D64">
        <w:rPr>
          <w:noProof/>
          <w:lang w:val="fr-FR"/>
        </w:rPr>
        <w:t>19</w:t>
      </w:r>
      <w:r>
        <w:rPr>
          <w:noProof/>
        </w:rPr>
        <w:fldChar w:fldCharType="end"/>
      </w:r>
      <w:r w:rsidRPr="004904CC">
        <w:rPr>
          <w:lang w:val="fr-FR"/>
        </w:rPr>
        <w:t>.  L</w:t>
      </w:r>
      <w:r>
        <w:rPr>
          <w:lang w:val="fr-FR"/>
        </w:rPr>
        <w:t>es</w:t>
      </w:r>
      <w:r w:rsidRPr="004904CC">
        <w:rPr>
          <w:lang w:val="fr-FR"/>
        </w:rPr>
        <w:t xml:space="preserve"> requérante</w:t>
      </w:r>
      <w:r>
        <w:rPr>
          <w:lang w:val="fr-FR"/>
        </w:rPr>
        <w:t>s</w:t>
      </w:r>
      <w:r w:rsidRPr="004904CC">
        <w:rPr>
          <w:lang w:val="fr-FR"/>
        </w:rPr>
        <w:t xml:space="preserve"> rappelle</w:t>
      </w:r>
      <w:r>
        <w:rPr>
          <w:lang w:val="fr-FR"/>
        </w:rPr>
        <w:t>nt</w:t>
      </w:r>
      <w:r w:rsidRPr="004904CC">
        <w:rPr>
          <w:lang w:val="fr-FR"/>
        </w:rPr>
        <w:t xml:space="preserve"> qu</w:t>
      </w:r>
      <w:r w:rsidR="00606C7B">
        <w:rPr>
          <w:lang w:val="fr-FR"/>
        </w:rPr>
        <w:t>’</w:t>
      </w:r>
      <w:r w:rsidRPr="004904CC">
        <w:rPr>
          <w:lang w:val="fr-FR"/>
        </w:rPr>
        <w:t>elle</w:t>
      </w:r>
      <w:r>
        <w:rPr>
          <w:lang w:val="fr-FR"/>
        </w:rPr>
        <w:t xml:space="preserve">s ont </w:t>
      </w:r>
      <w:r w:rsidRPr="004904CC">
        <w:rPr>
          <w:lang w:val="fr-FR"/>
        </w:rPr>
        <w:t>été privée</w:t>
      </w:r>
      <w:r>
        <w:rPr>
          <w:lang w:val="fr-FR"/>
        </w:rPr>
        <w:t>s</w:t>
      </w:r>
      <w:r w:rsidRPr="004904CC">
        <w:rPr>
          <w:lang w:val="fr-FR"/>
        </w:rPr>
        <w:t xml:space="preserve"> de </w:t>
      </w:r>
      <w:r>
        <w:rPr>
          <w:lang w:val="fr-FR"/>
        </w:rPr>
        <w:t>leur</w:t>
      </w:r>
      <w:r w:rsidRPr="004904CC">
        <w:rPr>
          <w:lang w:val="fr-FR"/>
        </w:rPr>
        <w:t xml:space="preserve"> bien en vertu du principe de l</w:t>
      </w:r>
      <w:r w:rsidR="00606C7B">
        <w:rPr>
          <w:lang w:val="fr-FR"/>
        </w:rPr>
        <w:t>’</w:t>
      </w:r>
      <w:r w:rsidRPr="004904CC">
        <w:rPr>
          <w:lang w:val="fr-FR"/>
        </w:rPr>
        <w:t>expropriation indirecte, un mécanisme qui permet à l</w:t>
      </w:r>
      <w:r w:rsidR="00606C7B">
        <w:rPr>
          <w:lang w:val="fr-FR"/>
        </w:rPr>
        <w:t>’</w:t>
      </w:r>
      <w:r w:rsidRPr="004904CC">
        <w:rPr>
          <w:lang w:val="fr-FR"/>
        </w:rPr>
        <w:t>autorité publique d</w:t>
      </w:r>
      <w:r w:rsidR="00606C7B">
        <w:rPr>
          <w:lang w:val="fr-FR"/>
        </w:rPr>
        <w:t>’</w:t>
      </w:r>
      <w:r w:rsidRPr="004904CC">
        <w:rPr>
          <w:lang w:val="fr-FR"/>
        </w:rPr>
        <w:t>acquérir un bien en toute illégalité, ce qui n</w:t>
      </w:r>
      <w:r w:rsidR="00606C7B">
        <w:rPr>
          <w:lang w:val="fr-FR"/>
        </w:rPr>
        <w:t>’</w:t>
      </w:r>
      <w:r w:rsidRPr="004904CC">
        <w:rPr>
          <w:lang w:val="fr-FR"/>
        </w:rPr>
        <w:t>est pas admissible dans un État de droit.</w:t>
      </w:r>
    </w:p>
    <w:p w:rsidR="006C6373" w:rsidRDefault="006C6373" w:rsidP="006C6373">
      <w:pPr>
        <w:pStyle w:val="ECHRPara"/>
        <w:rPr>
          <w:lang w:val="fr-FR"/>
        </w:rPr>
      </w:pPr>
      <w:r>
        <w:fldChar w:fldCharType="begin"/>
      </w:r>
      <w:r w:rsidRPr="004904CC">
        <w:rPr>
          <w:lang w:val="fr-FR"/>
        </w:rPr>
        <w:instrText xml:space="preserve"> SEQ level0 \*arabic </w:instrText>
      </w:r>
      <w:r>
        <w:fldChar w:fldCharType="separate"/>
      </w:r>
      <w:r w:rsidR="00297D64">
        <w:rPr>
          <w:noProof/>
          <w:lang w:val="fr-FR"/>
        </w:rPr>
        <w:t>20</w:t>
      </w:r>
      <w:r>
        <w:rPr>
          <w:noProof/>
        </w:rPr>
        <w:fldChar w:fldCharType="end"/>
      </w:r>
      <w:r w:rsidRPr="004904CC">
        <w:rPr>
          <w:lang w:val="fr-FR"/>
        </w:rPr>
        <w:t>.  Selon le Gouvernement, en dépit de l</w:t>
      </w:r>
      <w:r w:rsidR="00606C7B">
        <w:rPr>
          <w:lang w:val="fr-FR"/>
        </w:rPr>
        <w:t>’</w:t>
      </w:r>
      <w:r w:rsidRPr="004904CC">
        <w:rPr>
          <w:lang w:val="fr-FR"/>
        </w:rPr>
        <w:t>absence d</w:t>
      </w:r>
      <w:r w:rsidR="00606C7B">
        <w:rPr>
          <w:lang w:val="fr-FR"/>
        </w:rPr>
        <w:t>’</w:t>
      </w:r>
      <w:r w:rsidRPr="004904CC">
        <w:rPr>
          <w:lang w:val="fr-FR"/>
        </w:rPr>
        <w:t>un arrêté légitime d</w:t>
      </w:r>
      <w:r w:rsidR="00606C7B">
        <w:rPr>
          <w:lang w:val="fr-FR"/>
        </w:rPr>
        <w:t>’</w:t>
      </w:r>
      <w:r w:rsidRPr="004904CC">
        <w:rPr>
          <w:lang w:val="fr-FR"/>
        </w:rPr>
        <w:t>expropriation et de la transformation du terrain de manière irréversible par la construction d</w:t>
      </w:r>
      <w:r w:rsidR="00606C7B">
        <w:rPr>
          <w:lang w:val="fr-FR"/>
        </w:rPr>
        <w:t>’</w:t>
      </w:r>
      <w:r w:rsidRPr="004904CC">
        <w:rPr>
          <w:lang w:val="fr-FR"/>
        </w:rPr>
        <w:t>un ouvrage d</w:t>
      </w:r>
      <w:r w:rsidR="00606C7B">
        <w:rPr>
          <w:lang w:val="fr-FR"/>
        </w:rPr>
        <w:t>’</w:t>
      </w:r>
      <w:r w:rsidRPr="004904CC">
        <w:rPr>
          <w:lang w:val="fr-FR"/>
        </w:rPr>
        <w:t>utilité publique, rendant sa restitution impossible, l</w:t>
      </w:r>
      <w:r w:rsidR="00606C7B">
        <w:rPr>
          <w:lang w:val="fr-FR"/>
        </w:rPr>
        <w:t>’</w:t>
      </w:r>
      <w:r w:rsidRPr="004904CC">
        <w:rPr>
          <w:lang w:val="fr-FR"/>
        </w:rPr>
        <w:t>occupation litigieuse a été faite dans le cadre d</w:t>
      </w:r>
      <w:r w:rsidR="00606C7B">
        <w:rPr>
          <w:lang w:val="fr-FR"/>
        </w:rPr>
        <w:t>’</w:t>
      </w:r>
      <w:r w:rsidRPr="004904CC">
        <w:rPr>
          <w:lang w:val="fr-FR"/>
        </w:rPr>
        <w:t xml:space="preserve">une procédure </w:t>
      </w:r>
      <w:r w:rsidRPr="00A61D91">
        <w:rPr>
          <w:lang w:val="fr-FR"/>
        </w:rPr>
        <w:t>administrative reposant sur une déclaration d</w:t>
      </w:r>
      <w:r w:rsidR="00606C7B">
        <w:rPr>
          <w:lang w:val="fr-FR"/>
        </w:rPr>
        <w:t>’</w:t>
      </w:r>
      <w:r w:rsidRPr="00A61D91">
        <w:rPr>
          <w:lang w:val="fr-FR"/>
        </w:rPr>
        <w:t>utilité publique. En l</w:t>
      </w:r>
      <w:r w:rsidR="00606C7B">
        <w:rPr>
          <w:lang w:val="fr-FR"/>
        </w:rPr>
        <w:t>’</w:t>
      </w:r>
      <w:r w:rsidRPr="00A61D91">
        <w:rPr>
          <w:lang w:val="fr-FR"/>
        </w:rPr>
        <w:t xml:space="preserve">espèce, le Gouvernement fait valoir que </w:t>
      </w:r>
      <w:r w:rsidRPr="00A61D91">
        <w:rPr>
          <w:color w:val="000000"/>
          <w:lang w:val="fr-FR"/>
        </w:rPr>
        <w:t>les requérantes ont obtenu du tribunal un dédommagement égal à la valeur vénale du terrain au moment de sa transformation irréversible.</w:t>
      </w:r>
    </w:p>
    <w:p w:rsidR="006C6373" w:rsidRPr="00A61D91" w:rsidRDefault="006C6373" w:rsidP="006C6373">
      <w:pPr>
        <w:pStyle w:val="ECHRPara"/>
        <w:rPr>
          <w:lang w:val="fr-FR"/>
        </w:rPr>
      </w:pPr>
      <w:r w:rsidRPr="00A61D91">
        <w:rPr>
          <w:color w:val="000000"/>
          <w:lang w:val="fr-FR"/>
        </w:rPr>
        <w:fldChar w:fldCharType="begin"/>
      </w:r>
      <w:r w:rsidRPr="00A61D91">
        <w:rPr>
          <w:color w:val="000000"/>
          <w:lang w:val="fr-FR"/>
        </w:rPr>
        <w:instrText xml:space="preserve"> SEQ level0 \*arabic </w:instrText>
      </w:r>
      <w:r w:rsidRPr="00A61D91">
        <w:rPr>
          <w:color w:val="000000"/>
          <w:lang w:val="fr-FR"/>
        </w:rPr>
        <w:fldChar w:fldCharType="separate"/>
      </w:r>
      <w:r w:rsidR="00297D64">
        <w:rPr>
          <w:noProof/>
          <w:color w:val="000000"/>
          <w:lang w:val="fr-FR"/>
        </w:rPr>
        <w:t>21</w:t>
      </w:r>
      <w:r w:rsidRPr="00A61D91">
        <w:rPr>
          <w:color w:val="000000"/>
          <w:lang w:val="fr-FR"/>
        </w:rPr>
        <w:fldChar w:fldCharType="end"/>
      </w:r>
      <w:r w:rsidRPr="00A61D91">
        <w:rPr>
          <w:color w:val="000000"/>
          <w:lang w:val="fr-FR"/>
        </w:rPr>
        <w:t>.  </w:t>
      </w:r>
      <w:r w:rsidRPr="00A61D91">
        <w:rPr>
          <w:lang w:val="fr-FR"/>
        </w:rPr>
        <w:t>La Cour rappelle d</w:t>
      </w:r>
      <w:r w:rsidR="00606C7B">
        <w:rPr>
          <w:lang w:val="fr-FR"/>
        </w:rPr>
        <w:t>’</w:t>
      </w:r>
      <w:r w:rsidRPr="00A61D91">
        <w:rPr>
          <w:lang w:val="fr-FR"/>
        </w:rPr>
        <w:t>emblée qu</w:t>
      </w:r>
      <w:r w:rsidR="00606C7B">
        <w:rPr>
          <w:lang w:val="fr-FR"/>
        </w:rPr>
        <w:t>’</w:t>
      </w:r>
      <w:r w:rsidRPr="00A61D91">
        <w:rPr>
          <w:lang w:val="fr-FR"/>
        </w:rPr>
        <w:t>elle a joint au fond l</w:t>
      </w:r>
      <w:r w:rsidR="00606C7B">
        <w:rPr>
          <w:lang w:val="fr-FR"/>
        </w:rPr>
        <w:t>’</w:t>
      </w:r>
      <w:r w:rsidRPr="00A61D91">
        <w:rPr>
          <w:lang w:val="fr-FR"/>
        </w:rPr>
        <w:t>exception du Gouvernement tirée de la perte de qualité de victime des requérantes.</w:t>
      </w:r>
    </w:p>
    <w:p w:rsidR="006C6373" w:rsidRDefault="006C6373" w:rsidP="006C6373">
      <w:pPr>
        <w:pStyle w:val="ECHRPara"/>
        <w:rPr>
          <w:lang w:val="fr-FR"/>
        </w:rPr>
      </w:pPr>
      <w:r w:rsidRPr="00A61D91">
        <w:fldChar w:fldCharType="begin"/>
      </w:r>
      <w:r w:rsidRPr="00A61D91">
        <w:rPr>
          <w:lang w:val="fr-FR"/>
        </w:rPr>
        <w:instrText xml:space="preserve"> SEQ level0 \*arabic </w:instrText>
      </w:r>
      <w:r w:rsidRPr="00A61D91">
        <w:fldChar w:fldCharType="separate"/>
      </w:r>
      <w:r w:rsidR="00297D64">
        <w:rPr>
          <w:noProof/>
          <w:lang w:val="fr-FR"/>
        </w:rPr>
        <w:t>22</w:t>
      </w:r>
      <w:r w:rsidRPr="00A61D91">
        <w:rPr>
          <w:noProof/>
        </w:rPr>
        <w:fldChar w:fldCharType="end"/>
      </w:r>
      <w:r w:rsidRPr="00A61D91">
        <w:rPr>
          <w:lang w:val="fr-FR"/>
        </w:rPr>
        <w:t>. Ensuite, la Cour note que les parties s</w:t>
      </w:r>
      <w:r w:rsidR="00606C7B">
        <w:rPr>
          <w:lang w:val="fr-FR"/>
        </w:rPr>
        <w:t>’</w:t>
      </w:r>
      <w:r w:rsidRPr="00A61D91">
        <w:rPr>
          <w:lang w:val="fr-FR"/>
        </w:rPr>
        <w:t>accordent pour dire qu</w:t>
      </w:r>
      <w:r w:rsidR="00606C7B">
        <w:rPr>
          <w:lang w:val="fr-FR"/>
        </w:rPr>
        <w:t>’</w:t>
      </w:r>
      <w:r w:rsidRPr="00A61D91">
        <w:rPr>
          <w:lang w:val="fr-FR"/>
        </w:rPr>
        <w:t>il y a eu « privation de la propriété ».</w:t>
      </w:r>
    </w:p>
    <w:p w:rsidR="006C6373" w:rsidRPr="004904CC" w:rsidRDefault="006C6373" w:rsidP="006C6373">
      <w:pPr>
        <w:pStyle w:val="ECHRPara"/>
        <w:rPr>
          <w:lang w:val="fr-FR"/>
        </w:rPr>
      </w:pPr>
      <w:r w:rsidRPr="00A61D91">
        <w:fldChar w:fldCharType="begin"/>
      </w:r>
      <w:r w:rsidRPr="00A61D91">
        <w:rPr>
          <w:lang w:val="fr-FR"/>
        </w:rPr>
        <w:instrText xml:space="preserve"> SEQ level0 \*arabic </w:instrText>
      </w:r>
      <w:r w:rsidRPr="00A61D91">
        <w:fldChar w:fldCharType="separate"/>
      </w:r>
      <w:r w:rsidR="00297D64">
        <w:rPr>
          <w:noProof/>
          <w:lang w:val="fr-FR"/>
        </w:rPr>
        <w:t>23</w:t>
      </w:r>
      <w:r w:rsidRPr="00A61D91">
        <w:rPr>
          <w:noProof/>
        </w:rPr>
        <w:fldChar w:fldCharType="end"/>
      </w:r>
      <w:r w:rsidRPr="00A61D91">
        <w:rPr>
          <w:lang w:val="fr-FR"/>
        </w:rPr>
        <w:t>.  La Cour renvoie à sa jurisprudence en matière d</w:t>
      </w:r>
      <w:r w:rsidR="00606C7B">
        <w:rPr>
          <w:lang w:val="fr-FR"/>
        </w:rPr>
        <w:t>’</w:t>
      </w:r>
      <w:r w:rsidRPr="00A61D91">
        <w:rPr>
          <w:lang w:val="fr-FR"/>
        </w:rPr>
        <w:t xml:space="preserve">expropriation </w:t>
      </w:r>
      <w:bookmarkStart w:id="1" w:name="HIT16"/>
      <w:bookmarkEnd w:id="1"/>
      <w:r w:rsidRPr="00A61D91">
        <w:rPr>
          <w:bCs/>
          <w:lang w:val="fr-FR"/>
        </w:rPr>
        <w:t>indirecte</w:t>
      </w:r>
      <w:r w:rsidRPr="00A61D91">
        <w:rPr>
          <w:lang w:val="fr-FR"/>
        </w:rPr>
        <w:t xml:space="preserve"> (voir, parmi d</w:t>
      </w:r>
      <w:r w:rsidR="00606C7B">
        <w:rPr>
          <w:lang w:val="fr-FR"/>
        </w:rPr>
        <w:t>’</w:t>
      </w:r>
      <w:r w:rsidRPr="00A61D91">
        <w:rPr>
          <w:lang w:val="fr-FR"/>
        </w:rPr>
        <w:t>autres,</w:t>
      </w:r>
      <w:r w:rsidRPr="004904CC">
        <w:rPr>
          <w:lang w:val="fr-FR"/>
        </w:rPr>
        <w:t xml:space="preserve"> </w:t>
      </w:r>
      <w:proofErr w:type="spellStart"/>
      <w:r w:rsidRPr="004904CC">
        <w:rPr>
          <w:rStyle w:val="ju-005fpara--char"/>
          <w:i/>
          <w:iCs/>
          <w:lang w:val="fr-FR"/>
        </w:rPr>
        <w:t>Belvedere</w:t>
      </w:r>
      <w:proofErr w:type="spellEnd"/>
      <w:r w:rsidRPr="004904CC">
        <w:rPr>
          <w:rStyle w:val="ju-005fpara--char"/>
          <w:i/>
          <w:iCs/>
          <w:lang w:val="fr-FR"/>
        </w:rPr>
        <w:t xml:space="preserve"> </w:t>
      </w:r>
      <w:proofErr w:type="spellStart"/>
      <w:r w:rsidRPr="004904CC">
        <w:rPr>
          <w:rStyle w:val="ju-005fpara--char"/>
          <w:i/>
          <w:iCs/>
          <w:lang w:val="fr-FR"/>
        </w:rPr>
        <w:t>Alberghiera</w:t>
      </w:r>
      <w:proofErr w:type="spellEnd"/>
      <w:r w:rsidRPr="004904CC">
        <w:rPr>
          <w:rStyle w:val="ju-005fpara--char"/>
          <w:i/>
          <w:iCs/>
          <w:lang w:val="fr-FR"/>
        </w:rPr>
        <w:t xml:space="preserve"> </w:t>
      </w:r>
      <w:proofErr w:type="spellStart"/>
      <w:r w:rsidRPr="004904CC">
        <w:rPr>
          <w:rStyle w:val="ju-005fpara--char"/>
          <w:i/>
          <w:iCs/>
          <w:lang w:val="fr-FR"/>
        </w:rPr>
        <w:t>S.r.l</w:t>
      </w:r>
      <w:proofErr w:type="spellEnd"/>
      <w:r w:rsidRPr="004904CC">
        <w:rPr>
          <w:rStyle w:val="ju-005fpara--char"/>
          <w:i/>
          <w:iCs/>
          <w:lang w:val="fr-FR"/>
        </w:rPr>
        <w:t>. c. Italie</w:t>
      </w:r>
      <w:r w:rsidRPr="004904CC">
        <w:rPr>
          <w:lang w:val="fr-FR"/>
        </w:rPr>
        <w:t>, n</w:t>
      </w:r>
      <w:r w:rsidRPr="004904CC">
        <w:rPr>
          <w:vertAlign w:val="superscript"/>
          <w:lang w:val="fr-FR"/>
        </w:rPr>
        <w:t>o</w:t>
      </w:r>
      <w:r w:rsidRPr="004904CC">
        <w:rPr>
          <w:lang w:val="fr-FR"/>
        </w:rPr>
        <w:t xml:space="preserve"> 31524/96, CEDH 2000-VI ; </w:t>
      </w:r>
      <w:proofErr w:type="spellStart"/>
      <w:r w:rsidRPr="004904CC">
        <w:rPr>
          <w:rStyle w:val="ju-005fpara--char"/>
          <w:i/>
          <w:iCs/>
          <w:lang w:val="fr-FR"/>
        </w:rPr>
        <w:t>Scordino</w:t>
      </w:r>
      <w:proofErr w:type="spellEnd"/>
      <w:r w:rsidRPr="004904CC">
        <w:rPr>
          <w:rStyle w:val="ju-005fpara--char"/>
          <w:i/>
          <w:iCs/>
          <w:lang w:val="fr-FR"/>
        </w:rPr>
        <w:t xml:space="preserve"> c. Italie (n</w:t>
      </w:r>
      <w:r w:rsidRPr="004904CC">
        <w:rPr>
          <w:rStyle w:val="ju-005fpara--char"/>
          <w:i/>
          <w:iCs/>
          <w:vertAlign w:val="superscript"/>
          <w:lang w:val="fr-FR"/>
        </w:rPr>
        <w:t>o</w:t>
      </w:r>
      <w:r w:rsidRPr="004904CC">
        <w:rPr>
          <w:rStyle w:val="ju-005fpara--char"/>
          <w:i/>
          <w:iCs/>
          <w:lang w:val="fr-FR"/>
        </w:rPr>
        <w:t xml:space="preserve"> 3)</w:t>
      </w:r>
      <w:r w:rsidRPr="004904CC">
        <w:rPr>
          <w:lang w:val="fr-FR"/>
        </w:rPr>
        <w:t>, n</w:t>
      </w:r>
      <w:r w:rsidRPr="004904CC">
        <w:rPr>
          <w:vertAlign w:val="superscript"/>
          <w:lang w:val="fr-FR"/>
        </w:rPr>
        <w:t>o</w:t>
      </w:r>
      <w:r w:rsidRPr="004904CC">
        <w:rPr>
          <w:lang w:val="fr-FR"/>
        </w:rPr>
        <w:t xml:space="preserve"> 43662/98, 17</w:t>
      </w:r>
      <w:r>
        <w:rPr>
          <w:lang w:val="fr-FR"/>
        </w:rPr>
        <w:t> </w:t>
      </w:r>
      <w:r w:rsidRPr="004904CC">
        <w:rPr>
          <w:lang w:val="fr-FR"/>
        </w:rPr>
        <w:t>mai</w:t>
      </w:r>
      <w:r w:rsidR="00606C7B">
        <w:rPr>
          <w:lang w:val="fr-FR"/>
        </w:rPr>
        <w:t xml:space="preserve"> </w:t>
      </w:r>
      <w:r w:rsidRPr="004904CC">
        <w:rPr>
          <w:lang w:val="fr-FR"/>
        </w:rPr>
        <w:t xml:space="preserve">2005 ; </w:t>
      </w:r>
      <w:proofErr w:type="spellStart"/>
      <w:r w:rsidRPr="004904CC">
        <w:rPr>
          <w:i/>
          <w:lang w:val="fr-FR"/>
        </w:rPr>
        <w:t>Velocci</w:t>
      </w:r>
      <w:proofErr w:type="spellEnd"/>
      <w:r w:rsidRPr="004904CC">
        <w:rPr>
          <w:i/>
          <w:lang w:val="fr-FR"/>
        </w:rPr>
        <w:t xml:space="preserve"> c. Italie</w:t>
      </w:r>
      <w:r w:rsidRPr="004904CC">
        <w:rPr>
          <w:lang w:val="fr-FR"/>
        </w:rPr>
        <w:t>, n</w:t>
      </w:r>
      <w:r w:rsidRPr="004904CC">
        <w:rPr>
          <w:vertAlign w:val="superscript"/>
          <w:lang w:val="fr-FR"/>
        </w:rPr>
        <w:t>o</w:t>
      </w:r>
      <w:r w:rsidRPr="004904CC">
        <w:rPr>
          <w:lang w:val="fr-FR"/>
        </w:rPr>
        <w:t xml:space="preserve"> 1717/03, 18 mars 2008) pour la récapitulation des principes pertinents et pour un aperçu de sa jurisprudence dans la matière.</w:t>
      </w:r>
    </w:p>
    <w:p w:rsidR="006C6373" w:rsidRPr="004904CC" w:rsidRDefault="006C6373" w:rsidP="006C6373">
      <w:pPr>
        <w:pStyle w:val="ECHRPara"/>
        <w:rPr>
          <w:lang w:val="fr-FR"/>
        </w:rPr>
      </w:pPr>
      <w:r>
        <w:fldChar w:fldCharType="begin"/>
      </w:r>
      <w:r w:rsidRPr="004904CC">
        <w:rPr>
          <w:lang w:val="fr-FR"/>
        </w:rPr>
        <w:instrText xml:space="preserve"> SEQ level0 \*arabic </w:instrText>
      </w:r>
      <w:r>
        <w:fldChar w:fldCharType="separate"/>
      </w:r>
      <w:r w:rsidR="00297D64">
        <w:rPr>
          <w:noProof/>
          <w:lang w:val="fr-FR"/>
        </w:rPr>
        <w:t>24</w:t>
      </w:r>
      <w:r>
        <w:rPr>
          <w:noProof/>
        </w:rPr>
        <w:fldChar w:fldCharType="end"/>
      </w:r>
      <w:r w:rsidRPr="004904CC">
        <w:rPr>
          <w:lang w:val="fr-FR"/>
        </w:rPr>
        <w:t>.  Dans la présente affaire, la Cour relève qu</w:t>
      </w:r>
      <w:r w:rsidR="00606C7B">
        <w:rPr>
          <w:lang w:val="fr-FR"/>
        </w:rPr>
        <w:t>’</w:t>
      </w:r>
      <w:r w:rsidRPr="004904CC">
        <w:rPr>
          <w:lang w:val="fr-FR"/>
        </w:rPr>
        <w:t>en appliquant le principe de l</w:t>
      </w:r>
      <w:r w:rsidR="00606C7B">
        <w:rPr>
          <w:lang w:val="fr-FR"/>
        </w:rPr>
        <w:t>’</w:t>
      </w:r>
      <w:bookmarkStart w:id="2" w:name="HIT19"/>
      <w:bookmarkEnd w:id="2"/>
      <w:r w:rsidRPr="004904CC">
        <w:rPr>
          <w:bCs/>
          <w:lang w:val="fr-FR"/>
        </w:rPr>
        <w:t>expropriation</w:t>
      </w:r>
      <w:r w:rsidRPr="004904CC">
        <w:rPr>
          <w:lang w:val="fr-FR"/>
        </w:rPr>
        <w:t xml:space="preserve"> </w:t>
      </w:r>
      <w:bookmarkStart w:id="3" w:name="HIT20"/>
      <w:bookmarkEnd w:id="3"/>
      <w:r w:rsidRPr="004904CC">
        <w:rPr>
          <w:bCs/>
          <w:lang w:val="fr-FR"/>
        </w:rPr>
        <w:t>indirecte</w:t>
      </w:r>
      <w:r w:rsidRPr="004904CC">
        <w:rPr>
          <w:lang w:val="fr-FR"/>
        </w:rPr>
        <w:t>, les juridictions internes ont considéré l</w:t>
      </w:r>
      <w:r>
        <w:rPr>
          <w:lang w:val="fr-FR"/>
        </w:rPr>
        <w:t>es</w:t>
      </w:r>
      <w:r w:rsidRPr="004904CC">
        <w:rPr>
          <w:lang w:val="fr-FR"/>
        </w:rPr>
        <w:t xml:space="preserve"> requérante</w:t>
      </w:r>
      <w:r>
        <w:rPr>
          <w:lang w:val="fr-FR"/>
        </w:rPr>
        <w:t>s</w:t>
      </w:r>
      <w:r w:rsidRPr="004904CC">
        <w:rPr>
          <w:lang w:val="fr-FR"/>
        </w:rPr>
        <w:t xml:space="preserve"> privée</w:t>
      </w:r>
      <w:r>
        <w:rPr>
          <w:lang w:val="fr-FR"/>
        </w:rPr>
        <w:t>s</w:t>
      </w:r>
      <w:r w:rsidRPr="004904CC">
        <w:rPr>
          <w:lang w:val="fr-FR"/>
        </w:rPr>
        <w:t xml:space="preserve"> de </w:t>
      </w:r>
      <w:r>
        <w:rPr>
          <w:lang w:val="fr-FR"/>
        </w:rPr>
        <w:t>leur</w:t>
      </w:r>
      <w:r w:rsidRPr="004904CC">
        <w:rPr>
          <w:lang w:val="fr-FR"/>
        </w:rPr>
        <w:t xml:space="preserve"> bien </w:t>
      </w:r>
      <w:r w:rsidRPr="004904CC">
        <w:rPr>
          <w:lang w:val="fr-FR" w:eastAsia="en-GB"/>
        </w:rPr>
        <w:t>à compter de</w:t>
      </w:r>
      <w:r w:rsidRPr="004904CC">
        <w:rPr>
          <w:lang w:val="fr-FR"/>
        </w:rPr>
        <w:t xml:space="preserve"> la date de la réalisation de l</w:t>
      </w:r>
      <w:r w:rsidR="00606C7B">
        <w:rPr>
          <w:lang w:val="fr-FR"/>
        </w:rPr>
        <w:t>’</w:t>
      </w:r>
      <w:r w:rsidRPr="004904CC">
        <w:rPr>
          <w:lang w:val="fr-FR"/>
        </w:rPr>
        <w:t>ouvrage public. Or, en l</w:t>
      </w:r>
      <w:r w:rsidR="00606C7B">
        <w:rPr>
          <w:lang w:val="fr-FR"/>
        </w:rPr>
        <w:t>’</w:t>
      </w:r>
      <w:r w:rsidRPr="004904CC">
        <w:rPr>
          <w:lang w:val="fr-FR"/>
        </w:rPr>
        <w:t>absence d</w:t>
      </w:r>
      <w:r w:rsidR="00606C7B">
        <w:rPr>
          <w:lang w:val="fr-FR"/>
        </w:rPr>
        <w:t>’</w:t>
      </w:r>
      <w:r w:rsidRPr="004904CC">
        <w:rPr>
          <w:lang w:val="fr-FR"/>
        </w:rPr>
        <w:t>un acte formel d</w:t>
      </w:r>
      <w:r w:rsidR="00606C7B">
        <w:rPr>
          <w:lang w:val="fr-FR"/>
        </w:rPr>
        <w:t>’</w:t>
      </w:r>
      <w:r w:rsidRPr="004904CC">
        <w:rPr>
          <w:lang w:val="fr-FR"/>
        </w:rPr>
        <w:t>expropriation, la Cour estime que cette situation ne saurait être considérée comme « prévisible », puisque ce n</w:t>
      </w:r>
      <w:r w:rsidR="00606C7B">
        <w:rPr>
          <w:lang w:val="fr-FR"/>
        </w:rPr>
        <w:t>’</w:t>
      </w:r>
      <w:r w:rsidRPr="004904CC">
        <w:rPr>
          <w:lang w:val="fr-FR"/>
        </w:rPr>
        <w:t>est que par la décision judiciaire définitive que l</w:t>
      </w:r>
      <w:r w:rsidR="00606C7B">
        <w:rPr>
          <w:lang w:val="fr-FR"/>
        </w:rPr>
        <w:t>’</w:t>
      </w:r>
      <w:r w:rsidRPr="004904CC">
        <w:rPr>
          <w:lang w:val="fr-FR"/>
        </w:rPr>
        <w:t>on peut considérer le principe de l</w:t>
      </w:r>
      <w:r w:rsidR="00606C7B">
        <w:rPr>
          <w:lang w:val="fr-FR"/>
        </w:rPr>
        <w:t>’</w:t>
      </w:r>
      <w:bookmarkStart w:id="4" w:name="HIT21"/>
      <w:bookmarkEnd w:id="4"/>
      <w:r w:rsidRPr="004904CC">
        <w:rPr>
          <w:bCs/>
          <w:lang w:val="fr-FR"/>
        </w:rPr>
        <w:t>expropriation</w:t>
      </w:r>
      <w:r w:rsidRPr="004904CC">
        <w:rPr>
          <w:lang w:val="fr-FR"/>
        </w:rPr>
        <w:t xml:space="preserve"> </w:t>
      </w:r>
      <w:bookmarkStart w:id="5" w:name="HIT22"/>
      <w:bookmarkEnd w:id="5"/>
      <w:r w:rsidRPr="004904CC">
        <w:rPr>
          <w:bCs/>
          <w:lang w:val="fr-FR"/>
        </w:rPr>
        <w:t>indirecte</w:t>
      </w:r>
      <w:r w:rsidRPr="004904CC">
        <w:rPr>
          <w:lang w:val="fr-FR"/>
        </w:rPr>
        <w:t xml:space="preserve"> comme ayant </w:t>
      </w:r>
      <w:r w:rsidRPr="004904CC">
        <w:rPr>
          <w:lang w:val="fr-FR"/>
        </w:rPr>
        <w:lastRenderedPageBreak/>
        <w:t>effectivement été appliqué et que l</w:t>
      </w:r>
      <w:r w:rsidR="00606C7B">
        <w:rPr>
          <w:lang w:val="fr-FR"/>
        </w:rPr>
        <w:t>’</w:t>
      </w:r>
      <w:r w:rsidRPr="004904CC">
        <w:rPr>
          <w:lang w:val="fr-FR"/>
        </w:rPr>
        <w:t>acquisition du terrain par les pouvoirs publics a été consacrée. Par conséquent, l</w:t>
      </w:r>
      <w:r>
        <w:rPr>
          <w:lang w:val="fr-FR"/>
        </w:rPr>
        <w:t>es</w:t>
      </w:r>
      <w:r w:rsidRPr="004904CC">
        <w:rPr>
          <w:lang w:val="fr-FR"/>
        </w:rPr>
        <w:t xml:space="preserve"> requérante</w:t>
      </w:r>
      <w:r>
        <w:rPr>
          <w:lang w:val="fr-FR"/>
        </w:rPr>
        <w:t>s</w:t>
      </w:r>
      <w:r w:rsidRPr="004904CC">
        <w:rPr>
          <w:lang w:val="fr-FR"/>
        </w:rPr>
        <w:t xml:space="preserve"> n</w:t>
      </w:r>
      <w:r w:rsidR="00606C7B">
        <w:rPr>
          <w:lang w:val="fr-FR"/>
        </w:rPr>
        <w:t>’</w:t>
      </w:r>
      <w:r>
        <w:rPr>
          <w:lang w:val="fr-FR"/>
        </w:rPr>
        <w:t>ont</w:t>
      </w:r>
      <w:r w:rsidRPr="004904CC">
        <w:rPr>
          <w:lang w:val="fr-FR"/>
        </w:rPr>
        <w:t xml:space="preserve"> eu la « </w:t>
      </w:r>
      <w:r w:rsidRPr="0029664A">
        <w:rPr>
          <w:lang w:val="fr-FR"/>
        </w:rPr>
        <w:t>sécurité juridique » concernant la privation du terrain qu</w:t>
      </w:r>
      <w:r w:rsidR="00606C7B">
        <w:rPr>
          <w:lang w:val="fr-FR"/>
        </w:rPr>
        <w:t>’</w:t>
      </w:r>
      <w:r w:rsidRPr="0029664A">
        <w:rPr>
          <w:lang w:val="fr-FR"/>
        </w:rPr>
        <w:t>au plus tard le 1</w:t>
      </w:r>
      <w:r w:rsidRPr="0029664A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Pr="0029664A">
        <w:rPr>
          <w:lang w:val="fr-FR"/>
        </w:rPr>
        <w:t>octobre 2004, date à laquelle l</w:t>
      </w:r>
      <w:r w:rsidR="00606C7B">
        <w:rPr>
          <w:lang w:val="fr-FR"/>
        </w:rPr>
        <w:t>’</w:t>
      </w:r>
      <w:r w:rsidRPr="0029664A">
        <w:rPr>
          <w:lang w:val="fr-FR"/>
        </w:rPr>
        <w:t xml:space="preserve">arrêt du tribunal de </w:t>
      </w:r>
      <w:proofErr w:type="spellStart"/>
      <w:r w:rsidRPr="0029664A">
        <w:rPr>
          <w:lang w:val="fr-FR"/>
        </w:rPr>
        <w:t>Velletri</w:t>
      </w:r>
      <w:proofErr w:type="spellEnd"/>
      <w:r w:rsidRPr="0029664A">
        <w:rPr>
          <w:lang w:val="fr-FR"/>
        </w:rPr>
        <w:t xml:space="preserve"> est devenu définitif.</w:t>
      </w:r>
    </w:p>
    <w:p w:rsidR="006C6373" w:rsidRPr="008126EA" w:rsidRDefault="006C6373" w:rsidP="006C6373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297D64">
        <w:rPr>
          <w:noProof/>
          <w:lang w:val="fr-FR"/>
        </w:rPr>
        <w:t>25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Pr="004904CC">
        <w:rPr>
          <w:lang w:val="fr-FR"/>
        </w:rPr>
        <w:t>La Cour estime que l</w:t>
      </w:r>
      <w:r w:rsidR="00606C7B">
        <w:rPr>
          <w:lang w:val="fr-FR"/>
        </w:rPr>
        <w:t>’</w:t>
      </w:r>
      <w:r w:rsidRPr="004904CC">
        <w:rPr>
          <w:lang w:val="fr-FR"/>
        </w:rPr>
        <w:t>ingérence litigieuse n</w:t>
      </w:r>
      <w:r w:rsidR="00606C7B">
        <w:rPr>
          <w:lang w:val="fr-FR"/>
        </w:rPr>
        <w:t>’</w:t>
      </w:r>
      <w:r w:rsidRPr="004904CC">
        <w:rPr>
          <w:lang w:val="fr-FR"/>
        </w:rPr>
        <w:t>est pas compatible avec le principe de légalité et qu</w:t>
      </w:r>
      <w:r w:rsidR="00606C7B">
        <w:rPr>
          <w:lang w:val="fr-FR"/>
        </w:rPr>
        <w:t>’</w:t>
      </w:r>
      <w:r w:rsidRPr="004904CC">
        <w:rPr>
          <w:lang w:val="fr-FR"/>
        </w:rPr>
        <w:t xml:space="preserve">elle a donc enfreint le </w:t>
      </w:r>
      <w:r>
        <w:rPr>
          <w:lang w:val="fr-FR"/>
        </w:rPr>
        <w:t xml:space="preserve">droit au respect des biens </w:t>
      </w:r>
      <w:r w:rsidRPr="008126EA">
        <w:rPr>
          <w:lang w:val="fr-FR"/>
        </w:rPr>
        <w:t>des requérantes en violation de l</w:t>
      </w:r>
      <w:r w:rsidR="00606C7B">
        <w:rPr>
          <w:lang w:val="fr-FR"/>
        </w:rPr>
        <w:t>’</w:t>
      </w:r>
      <w:r w:rsidRPr="008126EA">
        <w:rPr>
          <w:lang w:val="fr-FR"/>
        </w:rPr>
        <w:t>article 1 du Protocole n</w:t>
      </w:r>
      <w:r w:rsidRPr="008126EA">
        <w:rPr>
          <w:vertAlign w:val="superscript"/>
          <w:lang w:val="fr-FR"/>
        </w:rPr>
        <w:t>o</w:t>
      </w:r>
      <w:r w:rsidRPr="008126EA">
        <w:rPr>
          <w:lang w:val="fr-FR"/>
        </w:rPr>
        <w:t xml:space="preserve"> 1.</w:t>
      </w:r>
    </w:p>
    <w:p w:rsidR="006C6373" w:rsidRPr="00943E5C" w:rsidRDefault="006C6373" w:rsidP="006C6373">
      <w:pPr>
        <w:pStyle w:val="ECHRPara"/>
        <w:rPr>
          <w:lang w:val="fr-FR"/>
        </w:rPr>
      </w:pPr>
      <w:r w:rsidRPr="008126EA">
        <w:rPr>
          <w:lang w:val="fr-FR"/>
        </w:rPr>
        <w:fldChar w:fldCharType="begin"/>
      </w:r>
      <w:r w:rsidRPr="008126EA">
        <w:rPr>
          <w:lang w:val="fr-FR"/>
        </w:rPr>
        <w:instrText xml:space="preserve"> SEQ level0 \*arabic </w:instrText>
      </w:r>
      <w:r w:rsidRPr="008126EA">
        <w:rPr>
          <w:lang w:val="fr-FR"/>
        </w:rPr>
        <w:fldChar w:fldCharType="separate"/>
      </w:r>
      <w:r w:rsidR="00297D64">
        <w:rPr>
          <w:noProof/>
          <w:lang w:val="fr-FR"/>
        </w:rPr>
        <w:t>26</w:t>
      </w:r>
      <w:r w:rsidRPr="008126EA">
        <w:rPr>
          <w:lang w:val="fr-FR"/>
        </w:rPr>
        <w:fldChar w:fldCharType="end"/>
      </w:r>
      <w:r w:rsidRPr="008126EA">
        <w:rPr>
          <w:lang w:val="fr-FR"/>
        </w:rPr>
        <w:t>.  Dès lors, l</w:t>
      </w:r>
      <w:r w:rsidR="00606C7B">
        <w:rPr>
          <w:lang w:val="fr-FR"/>
        </w:rPr>
        <w:t>’</w:t>
      </w:r>
      <w:r w:rsidRPr="008126EA">
        <w:rPr>
          <w:lang w:val="fr-FR"/>
        </w:rPr>
        <w:t>exception tirée de l</w:t>
      </w:r>
      <w:r w:rsidR="00606C7B">
        <w:rPr>
          <w:lang w:val="fr-FR"/>
        </w:rPr>
        <w:t>’</w:t>
      </w:r>
      <w:r w:rsidRPr="008126EA">
        <w:rPr>
          <w:lang w:val="fr-FR"/>
        </w:rPr>
        <w:t>absence de qualité de victime des requérantes ne saurait être retenue et il y a eu violation de l</w:t>
      </w:r>
      <w:r w:rsidR="00606C7B">
        <w:rPr>
          <w:lang w:val="fr-FR"/>
        </w:rPr>
        <w:t>’</w:t>
      </w:r>
      <w:r w:rsidRPr="008126EA">
        <w:rPr>
          <w:lang w:val="fr-FR"/>
        </w:rPr>
        <w:t>article 1 du Protocole no 1.</w:t>
      </w:r>
    </w:p>
    <w:p w:rsidR="006C6373" w:rsidRPr="00812BDE" w:rsidRDefault="006C6373" w:rsidP="00606C7B">
      <w:pPr>
        <w:pStyle w:val="ECHRHeading1"/>
        <w:rPr>
          <w:rFonts w:eastAsia="Times New Roman"/>
          <w:lang w:val="fr-FR" w:eastAsia="fr-FR"/>
        </w:rPr>
      </w:pPr>
      <w:r w:rsidRPr="00812BDE">
        <w:rPr>
          <w:rFonts w:eastAsia="Times New Roman"/>
          <w:lang w:val="fr-FR" w:eastAsia="fr-FR"/>
        </w:rPr>
        <w:t>II.  SUR LA VIOLATION ALLÉGUÉE DE L</w:t>
      </w:r>
      <w:r w:rsidR="00606C7B">
        <w:rPr>
          <w:rFonts w:eastAsia="Times New Roman"/>
          <w:lang w:val="fr-FR" w:eastAsia="fr-FR"/>
        </w:rPr>
        <w:t>’</w:t>
      </w:r>
      <w:r w:rsidRPr="00812BDE">
        <w:rPr>
          <w:rFonts w:eastAsia="Times New Roman"/>
          <w:lang w:val="fr-FR" w:eastAsia="fr-FR"/>
        </w:rPr>
        <w:t>ARTICLE 6 § 1 DE LA CONVENTION</w:t>
      </w:r>
    </w:p>
    <w:p w:rsidR="006C6373" w:rsidRPr="004D496F" w:rsidRDefault="006C6373" w:rsidP="00606C7B">
      <w:pPr>
        <w:pStyle w:val="ECHRHeading2"/>
        <w:rPr>
          <w:rFonts w:eastAsia="Times New Roman"/>
          <w:lang w:val="fr-FR" w:eastAsia="fr-FR"/>
        </w:rPr>
      </w:pPr>
      <w:r w:rsidRPr="004D496F">
        <w:rPr>
          <w:rFonts w:eastAsia="Times New Roman"/>
          <w:lang w:val="fr-FR" w:eastAsia="fr-FR"/>
        </w:rPr>
        <w:t>Sur la recevabilité</w:t>
      </w:r>
    </w:p>
    <w:p w:rsidR="006C6373" w:rsidRPr="004F0C22" w:rsidRDefault="006C6373" w:rsidP="004F0C22">
      <w:pPr>
        <w:pStyle w:val="ECHRPara"/>
        <w:rPr>
          <w:noProof/>
          <w:lang w:val="fr-FR"/>
        </w:rPr>
      </w:pPr>
      <w:r w:rsidRPr="004F0C22">
        <w:rPr>
          <w:noProof/>
          <w:lang w:val="fr-FR"/>
        </w:rPr>
        <w:fldChar w:fldCharType="begin"/>
      </w:r>
      <w:r w:rsidRPr="004F0C22">
        <w:rPr>
          <w:noProof/>
          <w:lang w:val="fr-FR"/>
        </w:rPr>
        <w:instrText xml:space="preserve"> SEQ level0 \*arabic </w:instrText>
      </w:r>
      <w:r w:rsidRPr="004F0C22">
        <w:rPr>
          <w:noProof/>
          <w:lang w:val="fr-FR"/>
        </w:rPr>
        <w:fldChar w:fldCharType="separate"/>
      </w:r>
      <w:r w:rsidR="00297D64">
        <w:rPr>
          <w:noProof/>
          <w:lang w:val="fr-FR"/>
        </w:rPr>
        <w:t>27</w:t>
      </w:r>
      <w:r w:rsidRPr="004F0C22">
        <w:rPr>
          <w:noProof/>
          <w:lang w:val="fr-FR"/>
        </w:rPr>
        <w:fldChar w:fldCharType="end"/>
      </w:r>
      <w:r w:rsidRPr="004F0C22">
        <w:rPr>
          <w:noProof/>
          <w:lang w:val="fr-FR"/>
        </w:rPr>
        <w:t>.  Les requérantes se plaignent de l</w:t>
      </w:r>
      <w:r w:rsidR="00606C7B">
        <w:rPr>
          <w:noProof/>
          <w:lang w:val="fr-FR"/>
        </w:rPr>
        <w:t>’</w:t>
      </w:r>
      <w:r w:rsidRPr="004F0C22">
        <w:rPr>
          <w:noProof/>
          <w:lang w:val="fr-FR"/>
        </w:rPr>
        <w:t>absence d</w:t>
      </w:r>
      <w:r w:rsidR="00606C7B">
        <w:rPr>
          <w:noProof/>
          <w:lang w:val="fr-FR"/>
        </w:rPr>
        <w:t>’</w:t>
      </w:r>
      <w:r w:rsidRPr="004F0C22">
        <w:rPr>
          <w:noProof/>
          <w:lang w:val="fr-FR"/>
        </w:rPr>
        <w:t>équité de la procédure. Elles font valoir qu</w:t>
      </w:r>
      <w:r w:rsidR="00606C7B">
        <w:rPr>
          <w:noProof/>
          <w:lang w:val="fr-FR"/>
        </w:rPr>
        <w:t>’</w:t>
      </w:r>
      <w:r w:rsidRPr="004F0C22">
        <w:rPr>
          <w:noProof/>
          <w:lang w:val="fr-FR"/>
        </w:rPr>
        <w:t>elles n</w:t>
      </w:r>
      <w:r w:rsidR="00606C7B">
        <w:rPr>
          <w:noProof/>
          <w:lang w:val="fr-FR"/>
        </w:rPr>
        <w:t>’</w:t>
      </w:r>
      <w:r w:rsidRPr="004F0C22">
        <w:rPr>
          <w:noProof/>
          <w:lang w:val="fr-FR"/>
        </w:rPr>
        <w:t>ont pas pu être dédommagées à hauteur de la valeur vénale du terrain, en raison de l</w:t>
      </w:r>
      <w:r w:rsidR="00606C7B">
        <w:rPr>
          <w:noProof/>
          <w:lang w:val="fr-FR"/>
        </w:rPr>
        <w:t>’</w:t>
      </w:r>
      <w:r w:rsidRPr="004F0C22">
        <w:rPr>
          <w:noProof/>
          <w:lang w:val="fr-FR"/>
        </w:rPr>
        <w:t>application de la loi no 662 de 1996, entrée en vigueur en cours de procédure.</w:t>
      </w:r>
    </w:p>
    <w:p w:rsidR="006C6373" w:rsidRPr="004F0C22" w:rsidRDefault="006C6373" w:rsidP="004F0C22">
      <w:pPr>
        <w:pStyle w:val="ECHRPara"/>
        <w:rPr>
          <w:noProof/>
          <w:lang w:val="fr-FR"/>
        </w:rPr>
      </w:pPr>
      <w:r w:rsidRPr="004F0C22">
        <w:rPr>
          <w:noProof/>
          <w:lang w:val="fr-FR"/>
        </w:rPr>
        <w:fldChar w:fldCharType="begin"/>
      </w:r>
      <w:r w:rsidRPr="004F0C22">
        <w:rPr>
          <w:noProof/>
          <w:lang w:val="fr-FR"/>
        </w:rPr>
        <w:instrText xml:space="preserve"> SEQ level0 \*arabic </w:instrText>
      </w:r>
      <w:r w:rsidRPr="004F0C22">
        <w:rPr>
          <w:noProof/>
          <w:lang w:val="fr-FR"/>
        </w:rPr>
        <w:fldChar w:fldCharType="separate"/>
      </w:r>
      <w:r w:rsidR="00297D64">
        <w:rPr>
          <w:noProof/>
          <w:lang w:val="fr-FR"/>
        </w:rPr>
        <w:t>28</w:t>
      </w:r>
      <w:r w:rsidRPr="004F0C22">
        <w:rPr>
          <w:noProof/>
          <w:lang w:val="fr-FR"/>
        </w:rPr>
        <w:fldChar w:fldCharType="end"/>
      </w:r>
      <w:r w:rsidRPr="004F0C22">
        <w:rPr>
          <w:noProof/>
          <w:lang w:val="fr-FR"/>
        </w:rPr>
        <w:t>.  Elles invoquent l</w:t>
      </w:r>
      <w:r w:rsidR="00606C7B">
        <w:rPr>
          <w:noProof/>
          <w:lang w:val="fr-FR"/>
        </w:rPr>
        <w:t>’</w:t>
      </w:r>
      <w:r w:rsidRPr="004F0C22">
        <w:rPr>
          <w:noProof/>
          <w:lang w:val="fr-FR"/>
        </w:rPr>
        <w:t>article 6 § 1 de la Convention, qui dans ses passages pertinents dispose :</w:t>
      </w:r>
    </w:p>
    <w:p w:rsidR="006C6373" w:rsidRPr="004D496F" w:rsidRDefault="006C6373" w:rsidP="004F0C22">
      <w:pPr>
        <w:pStyle w:val="ECHRParaQuote"/>
        <w:rPr>
          <w:rFonts w:eastAsia="Times New Roman"/>
          <w:lang w:val="fr-FR" w:eastAsia="fr-FR"/>
        </w:rPr>
      </w:pPr>
      <w:r w:rsidRPr="004D496F">
        <w:rPr>
          <w:rFonts w:eastAsia="Times New Roman"/>
          <w:lang w:val="fr-FR" w:eastAsia="fr-FR"/>
        </w:rPr>
        <w:t>« Toute personne a droit à ce que sa cause soit entendue équitablement (...) par un tribunal (...), qui décidera (...) des contestations sur ses droits et obligations de caractère civil (...) »</w:t>
      </w:r>
    </w:p>
    <w:p w:rsidR="006C6373" w:rsidRPr="004D496F" w:rsidRDefault="006C6373" w:rsidP="004F0C22">
      <w:pPr>
        <w:pStyle w:val="ECHRPara"/>
        <w:rPr>
          <w:rFonts w:eastAsia="Times New Roman"/>
          <w:lang w:val="fr-FR"/>
        </w:rPr>
      </w:pPr>
      <w:r w:rsidRPr="004D496F">
        <w:rPr>
          <w:rFonts w:eastAsia="Times New Roman"/>
        </w:rPr>
        <w:fldChar w:fldCharType="begin"/>
      </w:r>
      <w:r w:rsidRPr="004D496F">
        <w:rPr>
          <w:rFonts w:eastAsia="Times New Roman"/>
          <w:lang w:val="fr-FR"/>
        </w:rPr>
        <w:instrText xml:space="preserve"> SEQ level0 \*arabic </w:instrText>
      </w:r>
      <w:r w:rsidRPr="004D496F">
        <w:rPr>
          <w:rFonts w:eastAsia="Times New Roman"/>
        </w:rPr>
        <w:fldChar w:fldCharType="separate"/>
      </w:r>
      <w:r w:rsidR="00297D64">
        <w:rPr>
          <w:rFonts w:eastAsia="Times New Roman"/>
          <w:noProof/>
          <w:lang w:val="fr-FR"/>
        </w:rPr>
        <w:t>29</w:t>
      </w:r>
      <w:r w:rsidRPr="004D496F">
        <w:rPr>
          <w:rFonts w:eastAsia="Times New Roman"/>
        </w:rPr>
        <w:fldChar w:fldCharType="end"/>
      </w:r>
      <w:r w:rsidRPr="004D496F">
        <w:rPr>
          <w:rFonts w:eastAsia="Times New Roman"/>
          <w:lang w:val="fr-FR"/>
        </w:rPr>
        <w:t>.  Le Gouvernement conteste cette thèse</w:t>
      </w:r>
      <w:r>
        <w:rPr>
          <w:rFonts w:eastAsia="Times New Roman"/>
          <w:lang w:val="fr-FR"/>
        </w:rPr>
        <w:t>, en observant que l</w:t>
      </w:r>
      <w:r w:rsidR="00606C7B">
        <w:rPr>
          <w:rFonts w:eastAsia="Times New Roman"/>
          <w:lang w:val="fr-FR"/>
        </w:rPr>
        <w:t>’</w:t>
      </w:r>
      <w:r>
        <w:rPr>
          <w:rFonts w:eastAsia="Times New Roman"/>
          <w:lang w:val="fr-FR"/>
        </w:rPr>
        <w:t>indemnité n</w:t>
      </w:r>
      <w:r w:rsidR="00606C7B">
        <w:rPr>
          <w:rFonts w:eastAsia="Times New Roman"/>
          <w:lang w:val="fr-FR"/>
        </w:rPr>
        <w:t>’</w:t>
      </w:r>
      <w:r>
        <w:rPr>
          <w:rFonts w:eastAsia="Times New Roman"/>
          <w:lang w:val="fr-FR"/>
        </w:rPr>
        <w:t xml:space="preserve">avait pas été calculée selon la loi </w:t>
      </w:r>
      <w:r w:rsidRPr="004D496F">
        <w:rPr>
          <w:rFonts w:eastAsia="Times New Roman"/>
          <w:lang w:val="fr-FR"/>
        </w:rPr>
        <w:t>n</w:t>
      </w:r>
      <w:r w:rsidRPr="006C6373">
        <w:rPr>
          <w:rFonts w:eastAsia="Times New Roman"/>
          <w:vertAlign w:val="superscript"/>
          <w:lang w:val="fr-FR"/>
        </w:rPr>
        <w:t>o</w:t>
      </w:r>
      <w:r w:rsidRPr="004D496F">
        <w:rPr>
          <w:rFonts w:eastAsia="Times New Roman"/>
          <w:lang w:val="fr-FR"/>
        </w:rPr>
        <w:t xml:space="preserve"> 662 de 1996.</w:t>
      </w:r>
    </w:p>
    <w:p w:rsidR="006C6373" w:rsidRPr="00104A59" w:rsidRDefault="006C6373" w:rsidP="004F0C22">
      <w:pPr>
        <w:pStyle w:val="ECHRPara"/>
        <w:rPr>
          <w:rFonts w:eastAsia="Times New Roman"/>
          <w:lang w:val="fr-FR"/>
        </w:rPr>
      </w:pPr>
      <w:r w:rsidRPr="004D496F">
        <w:rPr>
          <w:rFonts w:eastAsia="Times New Roman"/>
        </w:rPr>
        <w:fldChar w:fldCharType="begin"/>
      </w:r>
      <w:r w:rsidRPr="004D496F">
        <w:rPr>
          <w:rFonts w:eastAsia="Times New Roman"/>
          <w:lang w:val="fr-FR"/>
        </w:rPr>
        <w:instrText xml:space="preserve"> SEQ level0 \*arabic </w:instrText>
      </w:r>
      <w:r w:rsidRPr="004D496F">
        <w:rPr>
          <w:rFonts w:eastAsia="Times New Roman"/>
        </w:rPr>
        <w:fldChar w:fldCharType="separate"/>
      </w:r>
      <w:r w:rsidR="00297D64">
        <w:rPr>
          <w:rFonts w:eastAsia="Times New Roman"/>
          <w:noProof/>
          <w:lang w:val="fr-FR"/>
        </w:rPr>
        <w:t>30</w:t>
      </w:r>
      <w:r w:rsidRPr="004D496F">
        <w:rPr>
          <w:rFonts w:eastAsia="Times New Roman"/>
        </w:rPr>
        <w:fldChar w:fldCharType="end"/>
      </w:r>
      <w:r w:rsidRPr="004D496F">
        <w:rPr>
          <w:rFonts w:eastAsia="Times New Roman"/>
          <w:lang w:val="fr-FR"/>
        </w:rPr>
        <w:t>.  La Cour constate que</w:t>
      </w:r>
      <w:r>
        <w:rPr>
          <w:rFonts w:eastAsia="Times New Roman"/>
          <w:lang w:val="fr-FR"/>
        </w:rPr>
        <w:t>, dans le cas d</w:t>
      </w:r>
      <w:r w:rsidR="00606C7B">
        <w:rPr>
          <w:rFonts w:eastAsia="Times New Roman"/>
          <w:lang w:val="fr-FR"/>
        </w:rPr>
        <w:t>’</w:t>
      </w:r>
      <w:r>
        <w:rPr>
          <w:rFonts w:eastAsia="Times New Roman"/>
          <w:lang w:val="fr-FR"/>
        </w:rPr>
        <w:t xml:space="preserve">espèce, la somme reconnue aux requérantes par le tribunal de </w:t>
      </w:r>
      <w:proofErr w:type="spellStart"/>
      <w:r>
        <w:rPr>
          <w:rFonts w:eastAsia="Times New Roman"/>
          <w:lang w:val="fr-FR"/>
        </w:rPr>
        <w:t>Velletri</w:t>
      </w:r>
      <w:proofErr w:type="spellEnd"/>
      <w:r>
        <w:rPr>
          <w:rFonts w:eastAsia="Times New Roman"/>
          <w:lang w:val="fr-FR"/>
        </w:rPr>
        <w:t xml:space="preserve"> n</w:t>
      </w:r>
      <w:r w:rsidR="00606C7B">
        <w:rPr>
          <w:rFonts w:eastAsia="Times New Roman"/>
          <w:lang w:val="fr-FR"/>
        </w:rPr>
        <w:t>’</w:t>
      </w:r>
      <w:r>
        <w:rPr>
          <w:rFonts w:eastAsia="Times New Roman"/>
          <w:lang w:val="fr-FR"/>
        </w:rPr>
        <w:t xml:space="preserve">a pas été soumise à la réduction prévue par la loi </w:t>
      </w:r>
      <w:r w:rsidRPr="00104A59">
        <w:rPr>
          <w:rFonts w:eastAsia="Times New Roman"/>
          <w:lang w:val="fr-FR"/>
        </w:rPr>
        <w:t>n</w:t>
      </w:r>
      <w:r w:rsidRPr="006C6373">
        <w:rPr>
          <w:rFonts w:eastAsia="Times New Roman"/>
          <w:vertAlign w:val="superscript"/>
          <w:lang w:val="fr-FR"/>
        </w:rPr>
        <w:t>o</w:t>
      </w:r>
      <w:r w:rsidRPr="00104A59">
        <w:rPr>
          <w:rFonts w:eastAsia="Times New Roman"/>
          <w:lang w:val="fr-FR"/>
        </w:rPr>
        <w:t xml:space="preserve"> 662 de 1996.</w:t>
      </w:r>
    </w:p>
    <w:p w:rsidR="006C6373" w:rsidRPr="00986389" w:rsidRDefault="006C6373" w:rsidP="004F0C22">
      <w:pPr>
        <w:pStyle w:val="ECHRPara"/>
        <w:rPr>
          <w:rFonts w:eastAsia="Times New Roman"/>
          <w:lang w:val="fr-FR"/>
        </w:rPr>
      </w:pPr>
      <w:r>
        <w:rPr>
          <w:rFonts w:eastAsia="Times New Roman"/>
          <w:lang w:val="fr-FR"/>
        </w:rPr>
        <w:fldChar w:fldCharType="begin"/>
      </w:r>
      <w:r>
        <w:rPr>
          <w:rFonts w:eastAsia="Times New Roman"/>
          <w:lang w:val="fr-FR"/>
        </w:rPr>
        <w:instrText xml:space="preserve"> SEQ level0 \*arabic </w:instrText>
      </w:r>
      <w:r>
        <w:rPr>
          <w:rFonts w:eastAsia="Times New Roman"/>
          <w:lang w:val="fr-FR"/>
        </w:rPr>
        <w:fldChar w:fldCharType="separate"/>
      </w:r>
      <w:r w:rsidR="00297D64">
        <w:rPr>
          <w:rFonts w:eastAsia="Times New Roman"/>
          <w:noProof/>
          <w:lang w:val="fr-FR"/>
        </w:rPr>
        <w:t>31</w:t>
      </w:r>
      <w:r>
        <w:rPr>
          <w:rFonts w:eastAsia="Times New Roman"/>
          <w:lang w:val="fr-FR"/>
        </w:rPr>
        <w:fldChar w:fldCharType="end"/>
      </w:r>
      <w:r>
        <w:rPr>
          <w:rFonts w:eastAsia="Times New Roman"/>
          <w:lang w:val="fr-FR"/>
        </w:rPr>
        <w:t xml:space="preserve">.  En conséquence, ce grief </w:t>
      </w:r>
      <w:r w:rsidRPr="00986389">
        <w:rPr>
          <w:rFonts w:eastAsia="Times New Roman"/>
          <w:lang w:val="fr-FR"/>
        </w:rPr>
        <w:t xml:space="preserve">est incompatible </w:t>
      </w:r>
      <w:proofErr w:type="spellStart"/>
      <w:r w:rsidRPr="00986389">
        <w:rPr>
          <w:rFonts w:eastAsia="Times New Roman"/>
          <w:i/>
          <w:lang w:val="fr-FR"/>
        </w:rPr>
        <w:t>ratione</w:t>
      </w:r>
      <w:proofErr w:type="spellEnd"/>
      <w:r w:rsidRPr="00986389">
        <w:rPr>
          <w:rFonts w:eastAsia="Times New Roman"/>
          <w:i/>
          <w:lang w:val="fr-FR"/>
        </w:rPr>
        <w:t xml:space="preserve"> personae</w:t>
      </w:r>
      <w:r w:rsidRPr="00986389">
        <w:rPr>
          <w:rFonts w:eastAsia="Times New Roman"/>
          <w:lang w:val="fr-FR"/>
        </w:rPr>
        <w:t xml:space="preserve"> avec les dispositions de la Convention au sens de l</w:t>
      </w:r>
      <w:r w:rsidR="00606C7B">
        <w:rPr>
          <w:rFonts w:eastAsia="Times New Roman"/>
          <w:lang w:val="fr-FR"/>
        </w:rPr>
        <w:t>’</w:t>
      </w:r>
      <w:r w:rsidRPr="00986389">
        <w:rPr>
          <w:rFonts w:eastAsia="Times New Roman"/>
          <w:lang w:val="fr-FR"/>
        </w:rPr>
        <w:t>article 35 § 3 et doit être rejetée en vertu de l</w:t>
      </w:r>
      <w:r w:rsidR="00606C7B">
        <w:rPr>
          <w:rFonts w:eastAsia="Times New Roman"/>
          <w:lang w:val="fr-FR"/>
        </w:rPr>
        <w:t>’</w:t>
      </w:r>
      <w:r w:rsidRPr="00986389">
        <w:rPr>
          <w:rFonts w:eastAsia="Times New Roman"/>
          <w:lang w:val="fr-FR"/>
        </w:rPr>
        <w:t>article 35 § 4</w:t>
      </w:r>
      <w:r>
        <w:rPr>
          <w:rFonts w:eastAsia="Times New Roman"/>
          <w:lang w:val="fr-FR"/>
        </w:rPr>
        <w:t xml:space="preserve">, </w:t>
      </w:r>
      <w:r w:rsidRPr="00EB7D70">
        <w:rPr>
          <w:lang w:val="fr-FR"/>
        </w:rPr>
        <w:t>dans la mesure où le</w:t>
      </w:r>
      <w:r>
        <w:rPr>
          <w:lang w:val="fr-FR"/>
        </w:rPr>
        <w:t>s</w:t>
      </w:r>
      <w:r w:rsidRPr="00EB7D70">
        <w:rPr>
          <w:lang w:val="fr-FR"/>
        </w:rPr>
        <w:t xml:space="preserve"> requérant</w:t>
      </w:r>
      <w:r>
        <w:rPr>
          <w:lang w:val="fr-FR"/>
        </w:rPr>
        <w:t>es ne peuvent</w:t>
      </w:r>
      <w:r w:rsidRPr="00EB7D70">
        <w:rPr>
          <w:lang w:val="fr-FR"/>
        </w:rPr>
        <w:t xml:space="preserve"> se prévaloir de la qualité de victime.</w:t>
      </w:r>
    </w:p>
    <w:p w:rsidR="006C6373" w:rsidRPr="00440876" w:rsidRDefault="006C6373" w:rsidP="006C6373">
      <w:pPr>
        <w:pStyle w:val="ECHRHeading1"/>
        <w:rPr>
          <w:lang w:val="fr-FR"/>
        </w:rPr>
      </w:pPr>
      <w:r>
        <w:rPr>
          <w:lang w:val="fr-FR"/>
        </w:rPr>
        <w:t>I</w:t>
      </w:r>
      <w:r w:rsidRPr="00440876">
        <w:rPr>
          <w:lang w:val="fr-FR"/>
        </w:rPr>
        <w:t>II.  SUR L</w:t>
      </w:r>
      <w:r w:rsidR="00606C7B">
        <w:rPr>
          <w:lang w:val="fr-FR"/>
        </w:rPr>
        <w:t>’</w:t>
      </w:r>
      <w:r w:rsidRPr="00440876">
        <w:rPr>
          <w:lang w:val="fr-FR"/>
        </w:rPr>
        <w:t>APPLICATION DE L</w:t>
      </w:r>
      <w:r w:rsidR="00606C7B">
        <w:rPr>
          <w:lang w:val="fr-FR"/>
        </w:rPr>
        <w:t>’</w:t>
      </w:r>
      <w:r w:rsidRPr="00440876">
        <w:rPr>
          <w:lang w:val="fr-FR"/>
        </w:rPr>
        <w:t>ARTICLE 41 DE LA CONVENTION</w:t>
      </w:r>
    </w:p>
    <w:p w:rsidR="006C6373" w:rsidRPr="00606C7B" w:rsidRDefault="00382317" w:rsidP="00606C7B">
      <w:pPr>
        <w:pStyle w:val="ECHRPara"/>
        <w:rPr>
          <w:lang w:val="fr-FR"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97D64" w:rsidRPr="00606C7B">
        <w:t>32</w:t>
      </w:r>
      <w:r>
        <w:fldChar w:fldCharType="end"/>
      </w:r>
      <w:r w:rsidR="006C6373" w:rsidRPr="00606C7B">
        <w:t>.  </w:t>
      </w:r>
      <w:r w:rsidR="006C6373" w:rsidRPr="00606C7B">
        <w:rPr>
          <w:lang w:val="fr-FR"/>
        </w:rPr>
        <w:t>Aux termes de l</w:t>
      </w:r>
      <w:r w:rsidR="00606C7B" w:rsidRPr="00606C7B">
        <w:rPr>
          <w:lang w:val="fr-FR"/>
        </w:rPr>
        <w:t>’</w:t>
      </w:r>
      <w:r w:rsidR="006C6373" w:rsidRPr="00606C7B">
        <w:rPr>
          <w:lang w:val="fr-FR"/>
        </w:rPr>
        <w:t>article 41 de la Convention,</w:t>
      </w:r>
    </w:p>
    <w:p w:rsidR="006C6373" w:rsidRPr="00440876" w:rsidRDefault="006C6373" w:rsidP="006C6373">
      <w:pPr>
        <w:pStyle w:val="ECHRParaQuote"/>
        <w:keepNext/>
        <w:keepLines/>
        <w:rPr>
          <w:lang w:val="fr-FR"/>
        </w:rPr>
      </w:pPr>
      <w:r w:rsidRPr="00440876">
        <w:rPr>
          <w:lang w:val="fr-FR"/>
        </w:rPr>
        <w:lastRenderedPageBreak/>
        <w:t>« Si la Cour déclare qu</w:t>
      </w:r>
      <w:r w:rsidR="00606C7B">
        <w:rPr>
          <w:lang w:val="fr-FR"/>
        </w:rPr>
        <w:t>’</w:t>
      </w:r>
      <w:r w:rsidRPr="00440876">
        <w:rPr>
          <w:lang w:val="fr-FR"/>
        </w:rPr>
        <w:t>il y a eu violation de la Convention ou de ses Protocoles, et si le droit interne de la Haute Partie contractante ne permet d</w:t>
      </w:r>
      <w:r w:rsidR="00606C7B">
        <w:rPr>
          <w:lang w:val="fr-FR"/>
        </w:rPr>
        <w:t>’</w:t>
      </w:r>
      <w:r w:rsidRPr="00440876">
        <w:rPr>
          <w:lang w:val="fr-FR"/>
        </w:rPr>
        <w:t>effacer qu</w:t>
      </w:r>
      <w:r w:rsidR="00606C7B">
        <w:rPr>
          <w:lang w:val="fr-FR"/>
        </w:rPr>
        <w:t>’</w:t>
      </w:r>
      <w:r w:rsidRPr="00440876">
        <w:rPr>
          <w:lang w:val="fr-FR"/>
        </w:rPr>
        <w:t>imparfaitement les conséquences de cette violation, la Cour accorde à la partie lésée, s</w:t>
      </w:r>
      <w:r w:rsidR="00606C7B">
        <w:rPr>
          <w:lang w:val="fr-FR"/>
        </w:rPr>
        <w:t>’</w:t>
      </w:r>
      <w:r w:rsidRPr="00440876">
        <w:rPr>
          <w:lang w:val="fr-FR"/>
        </w:rPr>
        <w:t>il y a lieu, une satisfaction équitable. »</w:t>
      </w:r>
    </w:p>
    <w:p w:rsidR="006C6373" w:rsidRPr="00606C7B" w:rsidRDefault="006C6373" w:rsidP="00606C7B">
      <w:pPr>
        <w:pStyle w:val="ECHRHeading2"/>
      </w:pPr>
      <w:r w:rsidRPr="00440876">
        <w:rPr>
          <w:lang w:val="fr-FR"/>
        </w:rPr>
        <w:t>A.  Dommage matériel</w:t>
      </w:r>
    </w:p>
    <w:p w:rsidR="006C6373" w:rsidRDefault="006C6373" w:rsidP="006C6373">
      <w:pPr>
        <w:pStyle w:val="ECHRPara"/>
        <w:rPr>
          <w:lang w:val="fr-FR"/>
        </w:rPr>
      </w:pPr>
      <w:r w:rsidRPr="003D3F37">
        <w:fldChar w:fldCharType="begin"/>
      </w:r>
      <w:r w:rsidRPr="003D3F37">
        <w:rPr>
          <w:lang w:val="fr-FR"/>
        </w:rPr>
        <w:instrText xml:space="preserve"> SEQ level0 \*arabic </w:instrText>
      </w:r>
      <w:r w:rsidRPr="003D3F37">
        <w:fldChar w:fldCharType="separate"/>
      </w:r>
      <w:r w:rsidR="00297D64">
        <w:rPr>
          <w:noProof/>
          <w:lang w:val="fr-FR"/>
        </w:rPr>
        <w:t>33</w:t>
      </w:r>
      <w:r w:rsidRPr="003D3F37">
        <w:rPr>
          <w:noProof/>
        </w:rPr>
        <w:fldChar w:fldCharType="end"/>
      </w:r>
      <w:r w:rsidRPr="003D3F37">
        <w:rPr>
          <w:lang w:val="fr-FR"/>
        </w:rPr>
        <w:t>.  Les requérantes sollicitent un dédommagement de</w:t>
      </w:r>
      <w:r>
        <w:rPr>
          <w:lang w:val="fr-FR"/>
        </w:rPr>
        <w:t xml:space="preserve"> 421 906, 20 EUR correspondant à la valeur des bâtiments qu</w:t>
      </w:r>
      <w:r w:rsidR="00606C7B">
        <w:rPr>
          <w:lang w:val="fr-FR"/>
        </w:rPr>
        <w:t>’</w:t>
      </w:r>
      <w:r>
        <w:rPr>
          <w:lang w:val="fr-FR"/>
        </w:rPr>
        <w:t xml:space="preserve">elles auraient pu bâtir sur le terrain, plus une somme de 98 016,61 EUR, plus intérêts </w:t>
      </w:r>
      <w:r w:rsidRPr="003D3F37">
        <w:rPr>
          <w:lang w:val="fr-FR"/>
        </w:rPr>
        <w:t>et réévaluation.</w:t>
      </w:r>
    </w:p>
    <w:p w:rsidR="006C6373" w:rsidRPr="00606C7B" w:rsidRDefault="00382317" w:rsidP="00606C7B">
      <w:pPr>
        <w:pStyle w:val="ECHRPara"/>
        <w:rPr>
          <w:lang w:val="fr-FR"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97D64" w:rsidRPr="00606C7B">
        <w:t>34</w:t>
      </w:r>
      <w:r>
        <w:fldChar w:fldCharType="end"/>
      </w:r>
      <w:r w:rsidR="006C6373" w:rsidRPr="00606C7B">
        <w:t>.  </w:t>
      </w:r>
      <w:r w:rsidR="006C6373" w:rsidRPr="00606C7B">
        <w:rPr>
          <w:lang w:val="fr-FR"/>
        </w:rPr>
        <w:t>Le Gouvernement s</w:t>
      </w:r>
      <w:r w:rsidR="00606C7B" w:rsidRPr="00606C7B">
        <w:rPr>
          <w:lang w:val="fr-FR"/>
        </w:rPr>
        <w:t>’</w:t>
      </w:r>
      <w:r w:rsidR="006C6373" w:rsidRPr="00606C7B">
        <w:rPr>
          <w:lang w:val="fr-FR"/>
        </w:rPr>
        <w:t>oppose et fait valoir que les requérantes ont obtenu un dédommagement correspondant à la valeur vénale du terrain, en conformité aux critères élaborés par la jurisprudence de la Cour.</w:t>
      </w:r>
    </w:p>
    <w:p w:rsidR="006C6373" w:rsidRPr="00606C7B" w:rsidRDefault="00382317" w:rsidP="00606C7B">
      <w:pPr>
        <w:pStyle w:val="ECHRPara"/>
        <w:rPr>
          <w:lang w:val="fr-FR"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297D64" w:rsidRPr="00606C7B">
        <w:t>35</w:t>
      </w:r>
      <w:r>
        <w:fldChar w:fldCharType="end"/>
      </w:r>
      <w:r w:rsidR="006C6373" w:rsidRPr="00606C7B">
        <w:t>.  </w:t>
      </w:r>
      <w:r w:rsidR="006C6373" w:rsidRPr="00606C7B">
        <w:rPr>
          <w:lang w:val="fr-FR"/>
        </w:rPr>
        <w:t>La Cour rappelle qu</w:t>
      </w:r>
      <w:r w:rsidR="00606C7B" w:rsidRPr="00606C7B">
        <w:rPr>
          <w:lang w:val="fr-FR"/>
        </w:rPr>
        <w:t>’</w:t>
      </w:r>
      <w:r w:rsidR="006C6373" w:rsidRPr="00606C7B">
        <w:rPr>
          <w:lang w:val="fr-FR"/>
        </w:rPr>
        <w:t>un arrêt constatant une violation entraîne pour l</w:t>
      </w:r>
      <w:r w:rsidR="00606C7B" w:rsidRPr="00606C7B">
        <w:rPr>
          <w:lang w:val="fr-FR"/>
        </w:rPr>
        <w:t>’</w:t>
      </w:r>
      <w:r w:rsidR="006C6373" w:rsidRPr="00606C7B">
        <w:rPr>
          <w:lang w:val="fr-FR"/>
        </w:rPr>
        <w:t>État défendeur l</w:t>
      </w:r>
      <w:r w:rsidR="00606C7B" w:rsidRPr="00606C7B">
        <w:rPr>
          <w:lang w:val="fr-FR"/>
        </w:rPr>
        <w:t>’</w:t>
      </w:r>
      <w:r w:rsidR="006C6373" w:rsidRPr="00606C7B">
        <w:rPr>
          <w:lang w:val="fr-FR"/>
        </w:rPr>
        <w:t>obligation de mettre un terme à la violation et d</w:t>
      </w:r>
      <w:r w:rsidR="00606C7B" w:rsidRPr="00606C7B">
        <w:rPr>
          <w:lang w:val="fr-FR"/>
        </w:rPr>
        <w:t>’</w:t>
      </w:r>
      <w:r w:rsidR="006C6373" w:rsidRPr="00606C7B">
        <w:rPr>
          <w:lang w:val="fr-FR"/>
        </w:rPr>
        <w:t>en effacer les conséquences de manière à rétablir autant que faire se peut la situation antérieure à celle-ci (</w:t>
      </w:r>
      <w:proofErr w:type="spellStart"/>
      <w:r w:rsidR="006C6373" w:rsidRPr="00606C7B">
        <w:rPr>
          <w:i/>
          <w:lang w:val="fr-FR"/>
        </w:rPr>
        <w:t>Iatridis</w:t>
      </w:r>
      <w:proofErr w:type="spellEnd"/>
      <w:r w:rsidR="006C6373" w:rsidRPr="00606C7B">
        <w:rPr>
          <w:i/>
          <w:lang w:val="fr-FR"/>
        </w:rPr>
        <w:t xml:space="preserve"> c. Grèce</w:t>
      </w:r>
      <w:r w:rsidR="006C6373" w:rsidRPr="00606C7B">
        <w:rPr>
          <w:lang w:val="fr-FR"/>
        </w:rPr>
        <w:t xml:space="preserve"> (satisfaction équitable) [GC], nº 31107/96, § 32, CEDH 2000-XI).</w:t>
      </w:r>
    </w:p>
    <w:p w:rsidR="006C6373" w:rsidRPr="00440876" w:rsidRDefault="006C6373" w:rsidP="006C6373">
      <w:pPr>
        <w:pStyle w:val="ECHRPara"/>
        <w:rPr>
          <w:lang w:val="fr-FR"/>
        </w:rPr>
      </w:pPr>
      <w:r>
        <w:rPr>
          <w:szCs w:val="24"/>
          <w:lang w:eastAsia="en-GB"/>
        </w:rPr>
        <w:fldChar w:fldCharType="begin"/>
      </w:r>
      <w:r w:rsidRPr="00440876">
        <w:rPr>
          <w:szCs w:val="24"/>
          <w:lang w:val="fr-FR" w:eastAsia="en-GB"/>
        </w:rPr>
        <w:instrText xml:space="preserve"> SEQ level0 \*arabic </w:instrText>
      </w:r>
      <w:r>
        <w:rPr>
          <w:szCs w:val="24"/>
          <w:lang w:eastAsia="en-GB"/>
        </w:rPr>
        <w:fldChar w:fldCharType="separate"/>
      </w:r>
      <w:r w:rsidR="00297D64">
        <w:rPr>
          <w:noProof/>
          <w:szCs w:val="24"/>
          <w:lang w:val="fr-FR" w:eastAsia="en-GB"/>
        </w:rPr>
        <w:t>36</w:t>
      </w:r>
      <w:r>
        <w:rPr>
          <w:szCs w:val="24"/>
          <w:lang w:eastAsia="en-GB"/>
        </w:rPr>
        <w:fldChar w:fldCharType="end"/>
      </w:r>
      <w:r w:rsidRPr="00440876">
        <w:rPr>
          <w:szCs w:val="24"/>
          <w:lang w:val="fr-FR" w:eastAsia="en-GB"/>
        </w:rPr>
        <w:t>.  Elle rappelle que dans l</w:t>
      </w:r>
      <w:r w:rsidR="00606C7B">
        <w:rPr>
          <w:szCs w:val="24"/>
          <w:lang w:val="fr-FR" w:eastAsia="en-GB"/>
        </w:rPr>
        <w:t>’</w:t>
      </w:r>
      <w:r w:rsidRPr="00440876">
        <w:rPr>
          <w:szCs w:val="24"/>
          <w:lang w:val="fr-FR" w:eastAsia="en-GB"/>
        </w:rPr>
        <w:t xml:space="preserve">affaire </w:t>
      </w:r>
      <w:proofErr w:type="spellStart"/>
      <w:r w:rsidRPr="00440876">
        <w:rPr>
          <w:i/>
          <w:iCs/>
          <w:szCs w:val="24"/>
          <w:lang w:val="fr-FR" w:eastAsia="en-GB"/>
        </w:rPr>
        <w:t>Guiso-Gallisay</w:t>
      </w:r>
      <w:proofErr w:type="spellEnd"/>
      <w:r w:rsidRPr="00440876">
        <w:rPr>
          <w:i/>
          <w:iCs/>
          <w:szCs w:val="24"/>
          <w:lang w:val="fr-FR" w:eastAsia="en-GB"/>
        </w:rPr>
        <w:t xml:space="preserve"> c. Italie</w:t>
      </w:r>
      <w:r w:rsidRPr="00440876">
        <w:rPr>
          <w:szCs w:val="24"/>
          <w:lang w:val="fr-FR" w:eastAsia="en-GB"/>
        </w:rPr>
        <w:t xml:space="preserve"> (satisfaction équitable) [GC], nº 58858/00, 22 décembre 2009, la Grande Chambre a modifié la jurisprudence de la Cour concernant les critères d</w:t>
      </w:r>
      <w:r w:rsidR="00606C7B">
        <w:rPr>
          <w:szCs w:val="24"/>
          <w:lang w:val="fr-FR" w:eastAsia="en-GB"/>
        </w:rPr>
        <w:t>’</w:t>
      </w:r>
      <w:r w:rsidRPr="00440876">
        <w:rPr>
          <w:szCs w:val="24"/>
          <w:lang w:val="fr-FR" w:eastAsia="en-GB"/>
        </w:rPr>
        <w:t>indemnisation dans les affaires d</w:t>
      </w:r>
      <w:r w:rsidR="00606C7B">
        <w:rPr>
          <w:szCs w:val="24"/>
          <w:lang w:val="fr-FR" w:eastAsia="en-GB"/>
        </w:rPr>
        <w:t>’</w:t>
      </w:r>
      <w:r w:rsidRPr="00440876">
        <w:rPr>
          <w:szCs w:val="24"/>
          <w:lang w:val="fr-FR" w:eastAsia="en-GB"/>
        </w:rPr>
        <w:t>expropriation indirecte. En particulier, elle a décidé d</w:t>
      </w:r>
      <w:r w:rsidR="00606C7B">
        <w:rPr>
          <w:szCs w:val="24"/>
          <w:lang w:val="fr-FR" w:eastAsia="en-GB"/>
        </w:rPr>
        <w:t>’</w:t>
      </w:r>
      <w:r w:rsidRPr="00440876">
        <w:rPr>
          <w:szCs w:val="24"/>
          <w:lang w:val="fr-FR" w:eastAsia="en-GB"/>
        </w:rPr>
        <w:t>écarter les prétentions des requérant</w:t>
      </w:r>
      <w:r>
        <w:rPr>
          <w:szCs w:val="24"/>
          <w:lang w:val="fr-FR" w:eastAsia="en-GB"/>
        </w:rPr>
        <w:t>e</w:t>
      </w:r>
      <w:r w:rsidRPr="00440876">
        <w:rPr>
          <w:szCs w:val="24"/>
          <w:lang w:val="fr-FR" w:eastAsia="en-GB"/>
        </w:rPr>
        <w:t>s dans la mesure où elles sont fondées sur la valeur des terrains à la date de l</w:t>
      </w:r>
      <w:r w:rsidR="00606C7B">
        <w:rPr>
          <w:szCs w:val="24"/>
          <w:lang w:val="fr-FR" w:eastAsia="en-GB"/>
        </w:rPr>
        <w:t>’</w:t>
      </w:r>
      <w:r w:rsidRPr="00440876">
        <w:rPr>
          <w:szCs w:val="24"/>
          <w:lang w:val="fr-FR" w:eastAsia="en-GB"/>
        </w:rPr>
        <w:t xml:space="preserve">arrêt de la Cour et de ne plus tenir </w:t>
      </w:r>
      <w:r w:rsidRPr="00440876">
        <w:rPr>
          <w:lang w:val="fr-FR"/>
        </w:rPr>
        <w:t>compte, pour évaluer le dommage matériel, du coût de construction des immeubles bâtis par l</w:t>
      </w:r>
      <w:r w:rsidR="00606C7B">
        <w:rPr>
          <w:lang w:val="fr-FR"/>
        </w:rPr>
        <w:t>’</w:t>
      </w:r>
      <w:r w:rsidRPr="00440876">
        <w:rPr>
          <w:lang w:val="fr-FR"/>
        </w:rPr>
        <w:t>État sur les terrains.</w:t>
      </w:r>
    </w:p>
    <w:p w:rsidR="006C6373" w:rsidRPr="00440876" w:rsidRDefault="006C6373" w:rsidP="006C6373">
      <w:pPr>
        <w:pStyle w:val="ECHRPara"/>
        <w:rPr>
          <w:lang w:val="fr-FR"/>
        </w:rPr>
      </w:pPr>
      <w:r>
        <w:fldChar w:fldCharType="begin"/>
      </w:r>
      <w:r w:rsidRPr="00440876">
        <w:rPr>
          <w:lang w:val="fr-FR"/>
        </w:rPr>
        <w:instrText xml:space="preserve"> SEQ level0 \*arabic </w:instrText>
      </w:r>
      <w:r>
        <w:fldChar w:fldCharType="separate"/>
      </w:r>
      <w:r w:rsidR="00297D64">
        <w:rPr>
          <w:noProof/>
          <w:lang w:val="fr-FR"/>
        </w:rPr>
        <w:t>37</w:t>
      </w:r>
      <w:r>
        <w:rPr>
          <w:noProof/>
        </w:rPr>
        <w:fldChar w:fldCharType="end"/>
      </w:r>
      <w:r w:rsidRPr="00440876">
        <w:rPr>
          <w:lang w:val="fr-FR"/>
        </w:rPr>
        <w:t>.  L</w:t>
      </w:r>
      <w:r w:rsidR="00606C7B">
        <w:rPr>
          <w:lang w:val="fr-FR"/>
        </w:rPr>
        <w:t>’</w:t>
      </w:r>
      <w:r w:rsidRPr="00440876">
        <w:rPr>
          <w:lang w:val="fr-FR"/>
        </w:rPr>
        <w:t>indemnisation doit donc correspondre à la valeur pleine et entière du terrain au moment de la perte de la propriété, telle qu</w:t>
      </w:r>
      <w:r w:rsidR="00606C7B">
        <w:rPr>
          <w:lang w:val="fr-FR"/>
        </w:rPr>
        <w:t>’</w:t>
      </w:r>
      <w:r w:rsidRPr="00440876">
        <w:rPr>
          <w:lang w:val="fr-FR"/>
        </w:rPr>
        <w:t>établie par l</w:t>
      </w:r>
      <w:r w:rsidR="00606C7B">
        <w:rPr>
          <w:lang w:val="fr-FR"/>
        </w:rPr>
        <w:t>’</w:t>
      </w:r>
      <w:r w:rsidRPr="00440876">
        <w:rPr>
          <w:lang w:val="fr-FR"/>
        </w:rPr>
        <w:t>expertise ordonnée par la juridiction compétente au cours de la procédure interne. Ensuite, une fois que l</w:t>
      </w:r>
      <w:r w:rsidR="00606C7B">
        <w:rPr>
          <w:lang w:val="fr-FR"/>
        </w:rPr>
        <w:t>’</w:t>
      </w:r>
      <w:r w:rsidRPr="00440876">
        <w:rPr>
          <w:lang w:val="fr-FR"/>
        </w:rPr>
        <w:t>on aura déduit la somme éventuellement octroyée au niveau national, ce montant doit être actualisé pour compenser les effets de l</w:t>
      </w:r>
      <w:r w:rsidR="00606C7B">
        <w:rPr>
          <w:lang w:val="fr-FR"/>
        </w:rPr>
        <w:t>’</w:t>
      </w:r>
      <w:r w:rsidRPr="00440876">
        <w:rPr>
          <w:lang w:val="fr-FR"/>
        </w:rPr>
        <w:t>inflation. Il convient aussi de l</w:t>
      </w:r>
      <w:r w:rsidR="00606C7B">
        <w:rPr>
          <w:lang w:val="fr-FR"/>
        </w:rPr>
        <w:t>’</w:t>
      </w:r>
      <w:r w:rsidRPr="00440876">
        <w:rPr>
          <w:lang w:val="fr-FR"/>
        </w:rPr>
        <w:t>assortir d</w:t>
      </w:r>
      <w:r w:rsidR="00606C7B">
        <w:rPr>
          <w:lang w:val="fr-FR"/>
        </w:rPr>
        <w:t>’</w:t>
      </w:r>
      <w:r w:rsidRPr="00440876">
        <w:rPr>
          <w:lang w:val="fr-FR"/>
        </w:rPr>
        <w:t>intérêts susceptibles de compenser, au moins en partie, le laps de temps qui s</w:t>
      </w:r>
      <w:r w:rsidR="00606C7B">
        <w:rPr>
          <w:lang w:val="fr-FR"/>
        </w:rPr>
        <w:t>’</w:t>
      </w:r>
      <w:r w:rsidRPr="00440876">
        <w:rPr>
          <w:lang w:val="fr-FR"/>
        </w:rPr>
        <w:t>est écoulé depuis la dépossession des terrains.</w:t>
      </w:r>
    </w:p>
    <w:p w:rsidR="006C6373" w:rsidRDefault="006C6373" w:rsidP="006C6373">
      <w:pPr>
        <w:pStyle w:val="ECHRPara"/>
        <w:rPr>
          <w:lang w:val="fr-FR" w:eastAsia="en-GB"/>
        </w:rPr>
      </w:pPr>
      <w:r w:rsidRPr="00BA2E57">
        <w:rPr>
          <w:lang w:eastAsia="en-GB"/>
        </w:rPr>
        <w:fldChar w:fldCharType="begin"/>
      </w:r>
      <w:r w:rsidRPr="00BA2E57">
        <w:rPr>
          <w:lang w:val="fr-FR" w:eastAsia="en-GB"/>
        </w:rPr>
        <w:instrText xml:space="preserve"> SEQ level0 \*arabic </w:instrText>
      </w:r>
      <w:r w:rsidRPr="00BA2E57">
        <w:rPr>
          <w:lang w:eastAsia="en-GB"/>
        </w:rPr>
        <w:fldChar w:fldCharType="separate"/>
      </w:r>
      <w:r w:rsidR="00297D64">
        <w:rPr>
          <w:noProof/>
          <w:lang w:val="fr-FR" w:eastAsia="en-GB"/>
        </w:rPr>
        <w:t>38</w:t>
      </w:r>
      <w:r w:rsidRPr="00BA2E57">
        <w:rPr>
          <w:lang w:eastAsia="en-GB"/>
        </w:rPr>
        <w:fldChar w:fldCharType="end"/>
      </w:r>
      <w:r w:rsidRPr="00BA2E57">
        <w:rPr>
          <w:lang w:val="fr-FR" w:eastAsia="en-GB"/>
        </w:rPr>
        <w:t>.  La Cour observe que les requérant</w:t>
      </w:r>
      <w:r>
        <w:rPr>
          <w:lang w:val="fr-FR" w:eastAsia="en-GB"/>
        </w:rPr>
        <w:t>e</w:t>
      </w:r>
      <w:r w:rsidRPr="00BA2E57">
        <w:rPr>
          <w:lang w:val="fr-FR" w:eastAsia="en-GB"/>
        </w:rPr>
        <w:t>s ont reçu au niveau national une somme correspondant à la valeur vénale de leur terrain, réévaluée et assortie d</w:t>
      </w:r>
      <w:r w:rsidR="00606C7B">
        <w:rPr>
          <w:lang w:val="fr-FR" w:eastAsia="en-GB"/>
        </w:rPr>
        <w:t>’</w:t>
      </w:r>
      <w:r w:rsidRPr="00BA2E57">
        <w:rPr>
          <w:lang w:val="fr-FR" w:eastAsia="en-GB"/>
        </w:rPr>
        <w:t xml:space="preserve">intérêts à compter de la date de la perte de la propriété (voir paragraphe </w:t>
      </w:r>
      <w:r>
        <w:rPr>
          <w:lang w:val="fr-FR" w:eastAsia="en-GB"/>
        </w:rPr>
        <w:t>11</w:t>
      </w:r>
      <w:r w:rsidRPr="00BA2E57">
        <w:rPr>
          <w:lang w:val="fr-FR" w:eastAsia="en-GB"/>
        </w:rPr>
        <w:t xml:space="preserve"> ci-dessus). Selon elle, les intéressé</w:t>
      </w:r>
      <w:r>
        <w:rPr>
          <w:lang w:val="fr-FR" w:eastAsia="en-GB"/>
        </w:rPr>
        <w:t>e</w:t>
      </w:r>
      <w:r w:rsidRPr="00BA2E57">
        <w:rPr>
          <w:lang w:val="fr-FR" w:eastAsia="en-GB"/>
        </w:rPr>
        <w:t>s ont ainsi déjà obtenu une somme suffisante à satisfaire les critères d</w:t>
      </w:r>
      <w:r w:rsidR="00606C7B">
        <w:rPr>
          <w:lang w:val="fr-FR" w:eastAsia="en-GB"/>
        </w:rPr>
        <w:t>’</w:t>
      </w:r>
      <w:r w:rsidRPr="00BA2E57">
        <w:rPr>
          <w:lang w:val="fr-FR" w:eastAsia="en-GB"/>
        </w:rPr>
        <w:t>indemnisation suscités</w:t>
      </w:r>
      <w:r w:rsidRPr="002A42FC">
        <w:rPr>
          <w:lang w:val="fr-FR" w:eastAsia="en-GB"/>
        </w:rPr>
        <w:t>.</w:t>
      </w:r>
    </w:p>
    <w:p w:rsidR="006C6373" w:rsidRPr="00606C7B" w:rsidRDefault="006C6373" w:rsidP="00606C7B">
      <w:pPr>
        <w:pStyle w:val="ECHRHeading2"/>
      </w:pPr>
      <w:r w:rsidRPr="00606C7B">
        <w:t>B.  </w:t>
      </w:r>
      <w:proofErr w:type="spellStart"/>
      <w:r w:rsidRPr="00606C7B">
        <w:t>Dommage</w:t>
      </w:r>
      <w:proofErr w:type="spellEnd"/>
      <w:r w:rsidRPr="00606C7B">
        <w:t xml:space="preserve"> moral</w:t>
      </w:r>
    </w:p>
    <w:p w:rsidR="006C6373" w:rsidRPr="0083475E" w:rsidRDefault="006C6373" w:rsidP="006C6373">
      <w:pPr>
        <w:pStyle w:val="ECHRPara"/>
        <w:rPr>
          <w:lang w:val="fr-FR"/>
        </w:rPr>
      </w:pPr>
      <w:r w:rsidRPr="00561A25">
        <w:fldChar w:fldCharType="begin"/>
      </w:r>
      <w:r w:rsidRPr="0083475E">
        <w:rPr>
          <w:lang w:val="fr-FR"/>
        </w:rPr>
        <w:instrText xml:space="preserve"> SEQ level0 \*arabic </w:instrText>
      </w:r>
      <w:r w:rsidRPr="00561A25">
        <w:fldChar w:fldCharType="separate"/>
      </w:r>
      <w:r w:rsidR="00297D64">
        <w:rPr>
          <w:noProof/>
          <w:lang w:val="fr-FR"/>
        </w:rPr>
        <w:t>39</w:t>
      </w:r>
      <w:r w:rsidRPr="00561A25">
        <w:fldChar w:fldCharType="end"/>
      </w:r>
      <w:r w:rsidRPr="0083475E">
        <w:rPr>
          <w:lang w:val="fr-FR"/>
        </w:rPr>
        <w:t>.  L</w:t>
      </w:r>
      <w:r>
        <w:rPr>
          <w:lang w:val="fr-FR"/>
        </w:rPr>
        <w:t>es</w:t>
      </w:r>
      <w:r w:rsidRPr="0083475E">
        <w:rPr>
          <w:lang w:val="fr-FR"/>
        </w:rPr>
        <w:t xml:space="preserve"> requérant</w:t>
      </w:r>
      <w:r>
        <w:rPr>
          <w:lang w:val="fr-FR"/>
        </w:rPr>
        <w:t>es</w:t>
      </w:r>
      <w:r w:rsidRPr="0083475E">
        <w:rPr>
          <w:lang w:val="fr-FR"/>
        </w:rPr>
        <w:t xml:space="preserve"> demande</w:t>
      </w:r>
      <w:r>
        <w:rPr>
          <w:lang w:val="fr-FR"/>
        </w:rPr>
        <w:t>nt</w:t>
      </w:r>
      <w:r w:rsidRPr="0083475E">
        <w:rPr>
          <w:lang w:val="fr-FR"/>
        </w:rPr>
        <w:t xml:space="preserve"> </w:t>
      </w:r>
      <w:r>
        <w:rPr>
          <w:lang w:val="fr-FR"/>
        </w:rPr>
        <w:t>28 000</w:t>
      </w:r>
      <w:r w:rsidRPr="0083475E">
        <w:rPr>
          <w:lang w:val="fr-FR"/>
        </w:rPr>
        <w:t xml:space="preserve"> EUR</w:t>
      </w:r>
      <w:r>
        <w:rPr>
          <w:lang w:val="fr-FR"/>
        </w:rPr>
        <w:t xml:space="preserve"> chacune</w:t>
      </w:r>
      <w:r w:rsidRPr="0083475E">
        <w:rPr>
          <w:lang w:val="fr-FR"/>
        </w:rPr>
        <w:t xml:space="preserve"> à titre de préjudice moral.</w:t>
      </w:r>
    </w:p>
    <w:p w:rsidR="006C6373" w:rsidRPr="0083475E" w:rsidRDefault="006C6373" w:rsidP="006C6373">
      <w:pPr>
        <w:pStyle w:val="ECHRPara"/>
        <w:rPr>
          <w:lang w:val="fr-FR"/>
        </w:rPr>
      </w:pPr>
      <w:r w:rsidRPr="00561A25">
        <w:lastRenderedPageBreak/>
        <w:fldChar w:fldCharType="begin"/>
      </w:r>
      <w:r w:rsidRPr="0083475E">
        <w:rPr>
          <w:lang w:val="fr-FR"/>
        </w:rPr>
        <w:instrText xml:space="preserve"> SEQ level0 \*arabic </w:instrText>
      </w:r>
      <w:r w:rsidRPr="00561A25">
        <w:fldChar w:fldCharType="separate"/>
      </w:r>
      <w:r w:rsidR="00297D64">
        <w:rPr>
          <w:noProof/>
          <w:lang w:val="fr-FR"/>
        </w:rPr>
        <w:t>40</w:t>
      </w:r>
      <w:r w:rsidRPr="00561A25">
        <w:fldChar w:fldCharType="end"/>
      </w:r>
      <w:r w:rsidRPr="0083475E">
        <w:rPr>
          <w:lang w:val="fr-FR"/>
        </w:rPr>
        <w:t>.  Le Gouvernement s</w:t>
      </w:r>
      <w:r w:rsidR="00606C7B">
        <w:rPr>
          <w:lang w:val="fr-FR"/>
        </w:rPr>
        <w:t>’</w:t>
      </w:r>
      <w:r w:rsidRPr="0083475E">
        <w:rPr>
          <w:lang w:val="fr-FR"/>
        </w:rPr>
        <w:t>y oppose.</w:t>
      </w:r>
    </w:p>
    <w:p w:rsidR="006C6373" w:rsidRPr="00440876" w:rsidRDefault="006C6373" w:rsidP="006C6373">
      <w:pPr>
        <w:pStyle w:val="ECHRPara"/>
        <w:rPr>
          <w:lang w:val="fr-FR"/>
        </w:rPr>
      </w:pPr>
      <w:r w:rsidRPr="00561A25">
        <w:fldChar w:fldCharType="begin"/>
      </w:r>
      <w:r w:rsidRPr="0083475E">
        <w:rPr>
          <w:lang w:val="fr-FR"/>
        </w:rPr>
        <w:instrText xml:space="preserve"> SEQ level0 \*arabic </w:instrText>
      </w:r>
      <w:r w:rsidRPr="00561A25">
        <w:fldChar w:fldCharType="separate"/>
      </w:r>
      <w:r w:rsidR="00297D64">
        <w:rPr>
          <w:noProof/>
          <w:lang w:val="fr-FR"/>
        </w:rPr>
        <w:t>41</w:t>
      </w:r>
      <w:r w:rsidRPr="00561A25">
        <w:fldChar w:fldCharType="end"/>
      </w:r>
      <w:r w:rsidRPr="0083475E">
        <w:rPr>
          <w:lang w:val="fr-FR"/>
        </w:rPr>
        <w:t>.  </w:t>
      </w:r>
      <w:r w:rsidRPr="00440876">
        <w:rPr>
          <w:lang w:val="fr-FR"/>
        </w:rPr>
        <w:t>La Cour estime que le sentiment d</w:t>
      </w:r>
      <w:r w:rsidR="00606C7B">
        <w:rPr>
          <w:lang w:val="fr-FR"/>
        </w:rPr>
        <w:t>’</w:t>
      </w:r>
      <w:r w:rsidRPr="00440876">
        <w:rPr>
          <w:lang w:val="fr-FR"/>
        </w:rPr>
        <w:t xml:space="preserve">impuissance et de frustration face à la dépossession illégale de </w:t>
      </w:r>
      <w:r>
        <w:rPr>
          <w:lang w:val="fr-FR"/>
        </w:rPr>
        <w:t>leur bien a causé aux</w:t>
      </w:r>
      <w:r w:rsidRPr="00440876">
        <w:rPr>
          <w:lang w:val="fr-FR"/>
        </w:rPr>
        <w:t xml:space="preserve"> </w:t>
      </w:r>
      <w:r>
        <w:rPr>
          <w:lang w:val="fr-FR"/>
        </w:rPr>
        <w:t>requérantes</w:t>
      </w:r>
      <w:r w:rsidRPr="00440876">
        <w:rPr>
          <w:lang w:val="fr-FR"/>
        </w:rPr>
        <w:t xml:space="preserve"> un préjudice moral qu</w:t>
      </w:r>
      <w:r w:rsidR="00606C7B">
        <w:rPr>
          <w:lang w:val="fr-FR"/>
        </w:rPr>
        <w:t>’</w:t>
      </w:r>
      <w:r w:rsidRPr="00440876">
        <w:rPr>
          <w:lang w:val="fr-FR"/>
        </w:rPr>
        <w:t>il y a lieu de réparer de manière adéquate.</w:t>
      </w:r>
    </w:p>
    <w:p w:rsidR="006C6373" w:rsidRPr="00440876" w:rsidRDefault="006C6373" w:rsidP="006C6373">
      <w:pPr>
        <w:pStyle w:val="ECHRPara"/>
        <w:rPr>
          <w:lang w:val="fr-FR"/>
        </w:rPr>
      </w:pPr>
      <w:r>
        <w:fldChar w:fldCharType="begin"/>
      </w:r>
      <w:r w:rsidRPr="00440876">
        <w:rPr>
          <w:lang w:val="fr-FR"/>
        </w:rPr>
        <w:instrText xml:space="preserve"> SEQ level0 \*arabic </w:instrText>
      </w:r>
      <w:r>
        <w:fldChar w:fldCharType="separate"/>
      </w:r>
      <w:r w:rsidR="00297D64">
        <w:rPr>
          <w:noProof/>
          <w:lang w:val="fr-FR"/>
        </w:rPr>
        <w:t>42</w:t>
      </w:r>
      <w:r>
        <w:rPr>
          <w:noProof/>
        </w:rPr>
        <w:fldChar w:fldCharType="end"/>
      </w:r>
      <w:r w:rsidRPr="00440876">
        <w:rPr>
          <w:lang w:val="fr-FR"/>
        </w:rPr>
        <w:t xml:space="preserve">.  Statuant en équité, la </w:t>
      </w:r>
      <w:r>
        <w:rPr>
          <w:lang w:val="fr-FR"/>
        </w:rPr>
        <w:t>Cour alloue conjointement aux requérantes</w:t>
      </w:r>
      <w:r w:rsidRPr="00440876">
        <w:rPr>
          <w:lang w:val="fr-FR"/>
        </w:rPr>
        <w:t xml:space="preserve"> 5 000 EUR</w:t>
      </w:r>
      <w:r>
        <w:rPr>
          <w:lang w:val="fr-FR"/>
        </w:rPr>
        <w:t xml:space="preserve">, </w:t>
      </w:r>
      <w:r w:rsidRPr="00440876">
        <w:rPr>
          <w:lang w:val="fr-FR"/>
        </w:rPr>
        <w:t>au titre du préjudice moral.</w:t>
      </w:r>
    </w:p>
    <w:p w:rsidR="006C6373" w:rsidRPr="00606C7B" w:rsidRDefault="006C6373" w:rsidP="00606C7B">
      <w:pPr>
        <w:pStyle w:val="ECHRHeading2"/>
      </w:pPr>
      <w:r w:rsidRPr="00606C7B">
        <w:t>C.  </w:t>
      </w:r>
      <w:proofErr w:type="spellStart"/>
      <w:r w:rsidRPr="00606C7B">
        <w:t>Frais</w:t>
      </w:r>
      <w:proofErr w:type="spellEnd"/>
      <w:r w:rsidRPr="00606C7B">
        <w:t xml:space="preserve"> </w:t>
      </w:r>
      <w:proofErr w:type="gramStart"/>
      <w:r w:rsidRPr="00606C7B">
        <w:t>et</w:t>
      </w:r>
      <w:proofErr w:type="gramEnd"/>
      <w:r w:rsidRPr="00606C7B">
        <w:t xml:space="preserve"> </w:t>
      </w:r>
      <w:proofErr w:type="spellStart"/>
      <w:r w:rsidRPr="00606C7B">
        <w:t>dépens</w:t>
      </w:r>
      <w:proofErr w:type="spellEnd"/>
    </w:p>
    <w:p w:rsidR="006C6373" w:rsidRDefault="006C6373" w:rsidP="006C6373">
      <w:pPr>
        <w:pStyle w:val="ECHRPara"/>
        <w:rPr>
          <w:lang w:val="fr-FR"/>
        </w:rPr>
      </w:pPr>
      <w:r>
        <w:fldChar w:fldCharType="begin"/>
      </w:r>
      <w:r w:rsidRPr="00440876">
        <w:rPr>
          <w:lang w:val="fr-FR"/>
        </w:rPr>
        <w:instrText xml:space="preserve"> SEQ level0 \*arabic </w:instrText>
      </w:r>
      <w:r>
        <w:fldChar w:fldCharType="separate"/>
      </w:r>
      <w:r w:rsidR="00297D64">
        <w:rPr>
          <w:noProof/>
          <w:lang w:val="fr-FR"/>
        </w:rPr>
        <w:t>43</w:t>
      </w:r>
      <w:r>
        <w:rPr>
          <w:noProof/>
        </w:rPr>
        <w:fldChar w:fldCharType="end"/>
      </w:r>
      <w:r w:rsidRPr="00440876">
        <w:rPr>
          <w:lang w:val="fr-FR"/>
        </w:rPr>
        <w:t>. </w:t>
      </w:r>
      <w:r w:rsidRPr="00623C6A">
        <w:rPr>
          <w:lang w:val="fr-FR"/>
        </w:rPr>
        <w:t>Le</w:t>
      </w:r>
      <w:r>
        <w:rPr>
          <w:lang w:val="fr-FR"/>
        </w:rPr>
        <w:t>s</w:t>
      </w:r>
      <w:r w:rsidRPr="00623C6A">
        <w:rPr>
          <w:lang w:val="fr-FR"/>
        </w:rPr>
        <w:t xml:space="preserve"> requérant</w:t>
      </w:r>
      <w:r>
        <w:rPr>
          <w:lang w:val="fr-FR"/>
        </w:rPr>
        <w:t>es</w:t>
      </w:r>
      <w:r w:rsidRPr="00623C6A">
        <w:rPr>
          <w:lang w:val="fr-FR"/>
        </w:rPr>
        <w:t xml:space="preserve"> demande</w:t>
      </w:r>
      <w:r>
        <w:rPr>
          <w:lang w:val="fr-FR"/>
        </w:rPr>
        <w:t>nt</w:t>
      </w:r>
      <w:r w:rsidRPr="00623C6A">
        <w:rPr>
          <w:lang w:val="fr-FR"/>
        </w:rPr>
        <w:t xml:space="preserve"> </w:t>
      </w:r>
      <w:r>
        <w:rPr>
          <w:lang w:val="fr-FR"/>
        </w:rPr>
        <w:t>le remboursement d</w:t>
      </w:r>
      <w:r w:rsidRPr="00623C6A">
        <w:rPr>
          <w:lang w:val="fr-FR"/>
        </w:rPr>
        <w:t xml:space="preserve">es frais et dépens engagés devant les juridictions internes </w:t>
      </w:r>
      <w:r>
        <w:rPr>
          <w:lang w:val="fr-FR"/>
        </w:rPr>
        <w:t xml:space="preserve">ainsi que </w:t>
      </w:r>
      <w:r w:rsidRPr="00623C6A">
        <w:rPr>
          <w:lang w:val="fr-FR"/>
        </w:rPr>
        <w:t xml:space="preserve">devant la Cour, mais sans </w:t>
      </w:r>
      <w:r>
        <w:rPr>
          <w:lang w:val="fr-FR"/>
        </w:rPr>
        <w:t>les chiffrer.</w:t>
      </w:r>
    </w:p>
    <w:p w:rsidR="006C6373" w:rsidRPr="00623C6A" w:rsidRDefault="006C6373" w:rsidP="006C6373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297D64">
        <w:rPr>
          <w:noProof/>
          <w:lang w:val="fr-FR"/>
        </w:rPr>
        <w:t>44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Pr="00A90459">
        <w:rPr>
          <w:lang w:val="fr-FR"/>
        </w:rPr>
        <w:t>Le Gouvernement estime que cette demande n</w:t>
      </w:r>
      <w:r w:rsidR="00606C7B">
        <w:rPr>
          <w:lang w:val="fr-FR"/>
        </w:rPr>
        <w:t>’</w:t>
      </w:r>
      <w:r w:rsidRPr="00A90459">
        <w:rPr>
          <w:lang w:val="fr-FR"/>
        </w:rPr>
        <w:t>est pas suffisamment étayée</w:t>
      </w:r>
      <w:r w:rsidRPr="00623C6A">
        <w:rPr>
          <w:lang w:val="fr-FR"/>
        </w:rPr>
        <w:t>.</w:t>
      </w:r>
    </w:p>
    <w:p w:rsidR="006C6373" w:rsidRPr="00FB4084" w:rsidRDefault="006C6373" w:rsidP="006C6373">
      <w:pPr>
        <w:pStyle w:val="ECHRPara"/>
        <w:rPr>
          <w:i/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297D64">
        <w:rPr>
          <w:noProof/>
          <w:lang w:val="fr-FR"/>
        </w:rPr>
        <w:t>45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Pr="00FB4084">
        <w:rPr>
          <w:lang w:val="fr-FR"/>
        </w:rPr>
        <w:t>La Cour rappelle que, pour avoir droit à l</w:t>
      </w:r>
      <w:r w:rsidR="00606C7B">
        <w:rPr>
          <w:lang w:val="fr-FR"/>
        </w:rPr>
        <w:t>’</w:t>
      </w:r>
      <w:r w:rsidRPr="00FB4084">
        <w:rPr>
          <w:lang w:val="fr-FR"/>
        </w:rPr>
        <w:t>allocation des frais et dépens en vertu de l</w:t>
      </w:r>
      <w:r w:rsidR="00606C7B">
        <w:rPr>
          <w:lang w:val="fr-FR"/>
        </w:rPr>
        <w:t>’</w:t>
      </w:r>
      <w:r w:rsidRPr="00FB4084">
        <w:rPr>
          <w:lang w:val="fr-FR"/>
        </w:rPr>
        <w:t>article 41 de la Convention, la partie lésée doit les avoir réellement et nécessairement exposés. En particulier, l</w:t>
      </w:r>
      <w:r w:rsidR="00606C7B">
        <w:rPr>
          <w:lang w:val="fr-FR"/>
        </w:rPr>
        <w:t>’</w:t>
      </w:r>
      <w:r w:rsidRPr="00FB4084">
        <w:rPr>
          <w:lang w:val="fr-FR"/>
        </w:rPr>
        <w:t>article 60 § 2 du règlement prévoit que toute prétention présentée au titre de l</w:t>
      </w:r>
      <w:r w:rsidR="00606C7B">
        <w:rPr>
          <w:lang w:val="fr-FR"/>
        </w:rPr>
        <w:t>’</w:t>
      </w:r>
      <w:r w:rsidRPr="00FB4084">
        <w:rPr>
          <w:lang w:val="fr-FR"/>
        </w:rPr>
        <w:t>article 41 de la Convention doit être chiffrée, ventilée par rubrique et accompagnée des justificatifs nécessaires, faute de quoi la Cour peut rejeter la demande, en tout ou en partie</w:t>
      </w:r>
      <w:r>
        <w:rPr>
          <w:lang w:val="fr-FR"/>
        </w:rPr>
        <w:t xml:space="preserve"> (voir </w:t>
      </w:r>
      <w:proofErr w:type="spellStart"/>
      <w:r w:rsidRPr="00FB4084">
        <w:rPr>
          <w:i/>
          <w:lang w:val="fr-FR"/>
        </w:rPr>
        <w:t>Vistiņš</w:t>
      </w:r>
      <w:proofErr w:type="spellEnd"/>
      <w:r w:rsidRPr="00FB4084">
        <w:rPr>
          <w:i/>
          <w:lang w:val="fr-FR"/>
        </w:rPr>
        <w:t xml:space="preserve"> et </w:t>
      </w:r>
      <w:proofErr w:type="spellStart"/>
      <w:r w:rsidRPr="00FB4084">
        <w:rPr>
          <w:i/>
          <w:lang w:val="fr-FR"/>
        </w:rPr>
        <w:t>Perepjolkins</w:t>
      </w:r>
      <w:proofErr w:type="spellEnd"/>
      <w:r w:rsidRPr="00FB4084">
        <w:rPr>
          <w:i/>
          <w:lang w:val="fr-FR"/>
        </w:rPr>
        <w:t xml:space="preserve"> </w:t>
      </w:r>
      <w:r w:rsidRPr="00FB4084">
        <w:rPr>
          <w:i/>
          <w:snapToGrid w:val="0"/>
          <w:lang w:val="fr-FR"/>
        </w:rPr>
        <w:t>c. Lettonie</w:t>
      </w:r>
      <w:r w:rsidRPr="00FB4084">
        <w:rPr>
          <w:i/>
          <w:lang w:val="fr-FR"/>
        </w:rPr>
        <w:t xml:space="preserve"> </w:t>
      </w:r>
      <w:r w:rsidRPr="00FB4084">
        <w:rPr>
          <w:lang w:val="fr-FR"/>
        </w:rPr>
        <w:t>(satisfaction équitable) [GC]</w:t>
      </w:r>
      <w:r w:rsidRPr="00FB4084">
        <w:rPr>
          <w:snapToGrid w:val="0"/>
          <w:lang w:val="fr-FR"/>
        </w:rPr>
        <w:t xml:space="preserve">, </w:t>
      </w:r>
      <w:r w:rsidRPr="00FB4084">
        <w:rPr>
          <w:lang w:val="fr-FR"/>
        </w:rPr>
        <w:t>n</w:t>
      </w:r>
      <w:r w:rsidRPr="00FB4084">
        <w:rPr>
          <w:vertAlign w:val="superscript"/>
          <w:lang w:val="fr-FR"/>
        </w:rPr>
        <w:t>o</w:t>
      </w:r>
      <w:r w:rsidRPr="00FB4084">
        <w:rPr>
          <w:lang w:val="fr-FR"/>
        </w:rPr>
        <w:t xml:space="preserve"> 71243/01</w:t>
      </w:r>
      <w:r w:rsidRPr="00FB4084">
        <w:rPr>
          <w:snapToGrid w:val="0"/>
          <w:lang w:val="fr-FR"/>
        </w:rPr>
        <w:t xml:space="preserve">, § </w:t>
      </w:r>
      <w:r>
        <w:rPr>
          <w:snapToGrid w:val="0"/>
          <w:lang w:val="fr-FR"/>
        </w:rPr>
        <w:t>50</w:t>
      </w:r>
      <w:r w:rsidRPr="00FB4084">
        <w:rPr>
          <w:snapToGrid w:val="0"/>
          <w:lang w:val="fr-FR"/>
        </w:rPr>
        <w:t>, CEDH 2014</w:t>
      </w:r>
      <w:r>
        <w:rPr>
          <w:lang w:val="fr-FR"/>
        </w:rPr>
        <w:t>).</w:t>
      </w:r>
    </w:p>
    <w:p w:rsidR="006C6373" w:rsidRPr="00623C6A" w:rsidRDefault="006C6373" w:rsidP="006C6373">
      <w:pPr>
        <w:pStyle w:val="ECHRPara"/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SEQ level0 \*arabic </w:instrText>
      </w:r>
      <w:r>
        <w:rPr>
          <w:lang w:val="fr-FR"/>
        </w:rPr>
        <w:fldChar w:fldCharType="separate"/>
      </w:r>
      <w:r w:rsidR="00297D64">
        <w:rPr>
          <w:noProof/>
          <w:lang w:val="fr-FR"/>
        </w:rPr>
        <w:t>46</w:t>
      </w:r>
      <w:r>
        <w:rPr>
          <w:lang w:val="fr-FR"/>
        </w:rPr>
        <w:fldChar w:fldCharType="end"/>
      </w:r>
      <w:r>
        <w:rPr>
          <w:lang w:val="fr-FR"/>
        </w:rPr>
        <w:t>.  </w:t>
      </w:r>
      <w:r w:rsidRPr="00623C6A">
        <w:rPr>
          <w:lang w:val="fr-FR"/>
        </w:rPr>
        <w:t>En l</w:t>
      </w:r>
      <w:r w:rsidR="00606C7B">
        <w:rPr>
          <w:lang w:val="fr-FR"/>
        </w:rPr>
        <w:t>’</w:t>
      </w:r>
      <w:r w:rsidRPr="00623C6A">
        <w:rPr>
          <w:lang w:val="fr-FR"/>
        </w:rPr>
        <w:t>espèce, relevant que le</w:t>
      </w:r>
      <w:r>
        <w:rPr>
          <w:lang w:val="fr-FR"/>
        </w:rPr>
        <w:t>s</w:t>
      </w:r>
      <w:r w:rsidRPr="00623C6A">
        <w:rPr>
          <w:lang w:val="fr-FR"/>
        </w:rPr>
        <w:t xml:space="preserve"> requérant</w:t>
      </w:r>
      <w:r>
        <w:rPr>
          <w:lang w:val="fr-FR"/>
        </w:rPr>
        <w:t>es</w:t>
      </w:r>
      <w:r w:rsidRPr="00623C6A">
        <w:rPr>
          <w:lang w:val="fr-FR"/>
        </w:rPr>
        <w:t xml:space="preserve"> n</w:t>
      </w:r>
      <w:r w:rsidR="00606C7B">
        <w:rPr>
          <w:lang w:val="fr-FR"/>
        </w:rPr>
        <w:t>’</w:t>
      </w:r>
      <w:r>
        <w:rPr>
          <w:lang w:val="fr-FR"/>
        </w:rPr>
        <w:t>ont</w:t>
      </w:r>
      <w:r w:rsidRPr="00623C6A">
        <w:rPr>
          <w:lang w:val="fr-FR"/>
        </w:rPr>
        <w:t xml:space="preserve"> pas fourni de justificatifs à l</w:t>
      </w:r>
      <w:r w:rsidR="00606C7B">
        <w:rPr>
          <w:lang w:val="fr-FR"/>
        </w:rPr>
        <w:t>’</w:t>
      </w:r>
      <w:r w:rsidRPr="00623C6A">
        <w:rPr>
          <w:lang w:val="fr-FR"/>
        </w:rPr>
        <w:t xml:space="preserve">appui de </w:t>
      </w:r>
      <w:r>
        <w:rPr>
          <w:lang w:val="fr-FR"/>
        </w:rPr>
        <w:t>leur</w:t>
      </w:r>
      <w:r w:rsidRPr="00623C6A">
        <w:rPr>
          <w:lang w:val="fr-FR"/>
        </w:rPr>
        <w:t xml:space="preserve"> demande, la Cour décide de ne </w:t>
      </w:r>
      <w:r>
        <w:rPr>
          <w:lang w:val="fr-FR"/>
        </w:rPr>
        <w:t>leur</w:t>
      </w:r>
      <w:r w:rsidRPr="00623C6A">
        <w:rPr>
          <w:lang w:val="fr-FR"/>
        </w:rPr>
        <w:t xml:space="preserve"> allouer aucune somme à ce titre.</w:t>
      </w:r>
    </w:p>
    <w:p w:rsidR="006C6373" w:rsidRPr="00606C7B" w:rsidRDefault="006C6373" w:rsidP="00606C7B">
      <w:pPr>
        <w:pStyle w:val="ECHRHeading2"/>
      </w:pPr>
      <w:r w:rsidRPr="00440876">
        <w:rPr>
          <w:lang w:val="fr-FR"/>
        </w:rPr>
        <w:t>D.  Intérêts moratoires</w:t>
      </w:r>
    </w:p>
    <w:p w:rsidR="006C6373" w:rsidRPr="00440876" w:rsidRDefault="006C6373" w:rsidP="006C6373">
      <w:pPr>
        <w:pStyle w:val="ECHRPara"/>
        <w:rPr>
          <w:lang w:val="fr-FR"/>
        </w:rPr>
      </w:pPr>
      <w:r>
        <w:fldChar w:fldCharType="begin"/>
      </w:r>
      <w:r w:rsidRPr="00440876">
        <w:rPr>
          <w:lang w:val="fr-FR"/>
        </w:rPr>
        <w:instrText xml:space="preserve"> SEQ level0 \*arabic </w:instrText>
      </w:r>
      <w:r>
        <w:fldChar w:fldCharType="separate"/>
      </w:r>
      <w:r w:rsidR="00297D64">
        <w:rPr>
          <w:noProof/>
          <w:lang w:val="fr-FR"/>
        </w:rPr>
        <w:t>47</w:t>
      </w:r>
      <w:r>
        <w:rPr>
          <w:noProof/>
        </w:rPr>
        <w:fldChar w:fldCharType="end"/>
      </w:r>
      <w:r w:rsidRPr="00440876">
        <w:rPr>
          <w:lang w:val="fr-FR"/>
        </w:rPr>
        <w:t>.  La Cour juge approprié de calquer le taux des intérêts moratoires sur le taux d</w:t>
      </w:r>
      <w:r w:rsidR="00606C7B">
        <w:rPr>
          <w:lang w:val="fr-FR"/>
        </w:rPr>
        <w:t>’</w:t>
      </w:r>
      <w:r w:rsidRPr="00440876">
        <w:rPr>
          <w:lang w:val="fr-FR"/>
        </w:rPr>
        <w:t>intérêt de la facilité de prêt marginal de la Banque centrale européenne majoré de trois points de pourcentage.</w:t>
      </w:r>
    </w:p>
    <w:p w:rsidR="006C6373" w:rsidRPr="00440876" w:rsidRDefault="006C6373" w:rsidP="006C6373">
      <w:pPr>
        <w:pStyle w:val="ECHRTitle1"/>
        <w:rPr>
          <w:lang w:val="fr-FR"/>
        </w:rPr>
      </w:pPr>
      <w:r w:rsidRPr="00440876">
        <w:rPr>
          <w:lang w:val="fr-FR"/>
        </w:rPr>
        <w:t xml:space="preserve">PAR CES MOTIFS, LA COUR </w:t>
      </w:r>
      <w:r w:rsidRPr="00440876">
        <w:rPr>
          <w:noProof/>
          <w:lang w:val="fr-FR"/>
        </w:rPr>
        <w:t>À L</w:t>
      </w:r>
      <w:r w:rsidR="00606C7B">
        <w:rPr>
          <w:noProof/>
          <w:lang w:val="fr-FR"/>
        </w:rPr>
        <w:t>’</w:t>
      </w:r>
      <w:r w:rsidRPr="00440876">
        <w:rPr>
          <w:noProof/>
          <w:lang w:val="fr-FR"/>
        </w:rPr>
        <w:t>UNANIMITÉ,</w:t>
      </w:r>
    </w:p>
    <w:p w:rsidR="006C6373" w:rsidRPr="00991288" w:rsidRDefault="006C6373" w:rsidP="006C6373">
      <w:pPr>
        <w:pStyle w:val="JuList"/>
        <w:rPr>
          <w:lang w:val="fr-FR"/>
        </w:rPr>
      </w:pPr>
      <w:r w:rsidRPr="002E434F">
        <w:rPr>
          <w:lang w:val="fr-FR"/>
        </w:rPr>
        <w:t>1.  </w:t>
      </w:r>
      <w:r w:rsidRPr="00991288">
        <w:rPr>
          <w:i/>
          <w:lang w:val="fr-FR"/>
        </w:rPr>
        <w:t>Joint au fond</w:t>
      </w:r>
      <w:r w:rsidRPr="00991288">
        <w:rPr>
          <w:lang w:val="fr-FR"/>
        </w:rPr>
        <w:t xml:space="preserve"> l</w:t>
      </w:r>
      <w:r w:rsidR="00606C7B">
        <w:rPr>
          <w:lang w:val="fr-FR"/>
        </w:rPr>
        <w:t>’</w:t>
      </w:r>
      <w:r w:rsidRPr="00991288">
        <w:rPr>
          <w:lang w:val="fr-FR"/>
        </w:rPr>
        <w:t>exception du Gouvernement et la rejette</w:t>
      </w:r>
      <w:r>
        <w:rPr>
          <w:lang w:val="fr-FR"/>
        </w:rPr>
        <w:t> ;</w:t>
      </w:r>
    </w:p>
    <w:p w:rsidR="006C6373" w:rsidRDefault="006C6373" w:rsidP="006C6373">
      <w:pPr>
        <w:pStyle w:val="JuList"/>
        <w:rPr>
          <w:lang w:val="fr-FR"/>
        </w:rPr>
      </w:pPr>
    </w:p>
    <w:p w:rsidR="006C6373" w:rsidRPr="002E434F" w:rsidRDefault="006C6373" w:rsidP="006C6373">
      <w:pPr>
        <w:pStyle w:val="JuList"/>
        <w:rPr>
          <w:lang w:val="fr-FR"/>
        </w:rPr>
      </w:pPr>
      <w:r w:rsidRPr="00440876">
        <w:rPr>
          <w:lang w:val="fr-FR"/>
        </w:rPr>
        <w:t>2.  </w:t>
      </w:r>
      <w:r w:rsidRPr="002E434F">
        <w:rPr>
          <w:i/>
          <w:lang w:val="fr-FR"/>
        </w:rPr>
        <w:t>Déclare</w:t>
      </w:r>
      <w:r w:rsidRPr="002E434F">
        <w:rPr>
          <w:lang w:val="fr-FR"/>
        </w:rPr>
        <w:t xml:space="preserve"> la requête recevable ;</w:t>
      </w:r>
    </w:p>
    <w:p w:rsidR="001A2C07" w:rsidRDefault="001A2C07" w:rsidP="006C6373">
      <w:pPr>
        <w:pStyle w:val="JuList"/>
        <w:rPr>
          <w:lang w:val="fr-FR"/>
        </w:rPr>
      </w:pPr>
    </w:p>
    <w:p w:rsidR="006C6373" w:rsidRPr="00440876" w:rsidRDefault="006C6373" w:rsidP="006C6373">
      <w:pPr>
        <w:pStyle w:val="JuList"/>
        <w:rPr>
          <w:lang w:val="fr-FR"/>
        </w:rPr>
      </w:pPr>
      <w:r>
        <w:rPr>
          <w:lang w:val="fr-FR"/>
        </w:rPr>
        <w:t>3</w:t>
      </w:r>
      <w:r w:rsidRPr="00440876">
        <w:rPr>
          <w:lang w:val="fr-FR"/>
        </w:rPr>
        <w:t>.  </w:t>
      </w:r>
      <w:r w:rsidRPr="00440876">
        <w:rPr>
          <w:i/>
          <w:lang w:val="fr-FR"/>
        </w:rPr>
        <w:t>Dit</w:t>
      </w:r>
      <w:r w:rsidRPr="00440876">
        <w:rPr>
          <w:lang w:val="fr-FR"/>
        </w:rPr>
        <w:t xml:space="preserve"> qu</w:t>
      </w:r>
      <w:r w:rsidR="00606C7B">
        <w:rPr>
          <w:lang w:val="fr-FR"/>
        </w:rPr>
        <w:t>’</w:t>
      </w:r>
      <w:r w:rsidRPr="00440876">
        <w:rPr>
          <w:lang w:val="fr-FR"/>
        </w:rPr>
        <w:t>il y a eu violation de l</w:t>
      </w:r>
      <w:r w:rsidR="00606C7B">
        <w:rPr>
          <w:lang w:val="fr-FR"/>
        </w:rPr>
        <w:t>’</w:t>
      </w:r>
      <w:r w:rsidRPr="00440876">
        <w:rPr>
          <w:lang w:val="fr-FR"/>
        </w:rPr>
        <w:t>article 1 du Protocole n</w:t>
      </w:r>
      <w:r w:rsidRPr="00440876">
        <w:rPr>
          <w:vertAlign w:val="superscript"/>
          <w:lang w:val="fr-FR"/>
        </w:rPr>
        <w:t>o</w:t>
      </w:r>
      <w:r w:rsidRPr="00440876">
        <w:rPr>
          <w:lang w:val="fr-FR"/>
        </w:rPr>
        <w:t xml:space="preserve"> 1 de la Convention ;</w:t>
      </w:r>
    </w:p>
    <w:p w:rsidR="006C6373" w:rsidRPr="00440876" w:rsidRDefault="006C6373" w:rsidP="006C6373">
      <w:pPr>
        <w:pStyle w:val="JuList"/>
        <w:rPr>
          <w:lang w:val="fr-FR"/>
        </w:rPr>
      </w:pPr>
    </w:p>
    <w:p w:rsidR="006C6373" w:rsidRPr="00440876" w:rsidRDefault="006C6373" w:rsidP="006C6373">
      <w:pPr>
        <w:pStyle w:val="JuList"/>
        <w:rPr>
          <w:lang w:val="fr-FR"/>
        </w:rPr>
      </w:pPr>
      <w:r>
        <w:rPr>
          <w:lang w:val="fr-FR"/>
        </w:rPr>
        <w:t>4</w:t>
      </w:r>
      <w:r w:rsidRPr="00440876">
        <w:rPr>
          <w:lang w:val="fr-FR"/>
        </w:rPr>
        <w:t>.  </w:t>
      </w:r>
      <w:r w:rsidRPr="00440876">
        <w:rPr>
          <w:i/>
          <w:lang w:val="fr-FR"/>
        </w:rPr>
        <w:t>Dit</w:t>
      </w:r>
    </w:p>
    <w:p w:rsidR="006C6373" w:rsidRPr="00440876" w:rsidRDefault="006C6373" w:rsidP="006C6373">
      <w:pPr>
        <w:pStyle w:val="JuLista"/>
        <w:rPr>
          <w:lang w:val="fr-FR"/>
        </w:rPr>
      </w:pPr>
      <w:r w:rsidRPr="00440876">
        <w:rPr>
          <w:lang w:val="fr-FR"/>
        </w:rPr>
        <w:lastRenderedPageBreak/>
        <w:t>a)  que l</w:t>
      </w:r>
      <w:r w:rsidR="00606C7B">
        <w:rPr>
          <w:lang w:val="fr-FR"/>
        </w:rPr>
        <w:t>’</w:t>
      </w:r>
      <w:r w:rsidRPr="00440876">
        <w:rPr>
          <w:lang w:val="fr-FR"/>
        </w:rPr>
        <w:t xml:space="preserve">État défendeur doit verser </w:t>
      </w:r>
      <w:r>
        <w:rPr>
          <w:lang w:val="fr-FR"/>
        </w:rPr>
        <w:t xml:space="preserve">aux requérantes, dans les trois mois, </w:t>
      </w:r>
      <w:r w:rsidRPr="0081304A">
        <w:rPr>
          <w:lang w:val="fr-FR" w:eastAsia="en-GB"/>
        </w:rPr>
        <w:t>5 000 EUR (cinq mille euros), plus tout montant pouvant être dû à titre d</w:t>
      </w:r>
      <w:r w:rsidR="00606C7B">
        <w:rPr>
          <w:lang w:val="fr-FR" w:eastAsia="en-GB"/>
        </w:rPr>
        <w:t>’</w:t>
      </w:r>
      <w:r w:rsidRPr="0081304A">
        <w:rPr>
          <w:lang w:val="fr-FR" w:eastAsia="en-GB"/>
        </w:rPr>
        <w:t>impôt, pour dommage moral ;</w:t>
      </w:r>
    </w:p>
    <w:p w:rsidR="006C6373" w:rsidRPr="00440876" w:rsidRDefault="006C6373" w:rsidP="006C6373">
      <w:pPr>
        <w:pStyle w:val="JuLista"/>
        <w:rPr>
          <w:lang w:val="fr-FR"/>
        </w:rPr>
      </w:pPr>
      <w:r w:rsidRPr="00440876">
        <w:rPr>
          <w:lang w:val="fr-FR"/>
        </w:rPr>
        <w:t>b)  qu</w:t>
      </w:r>
      <w:r w:rsidR="00606C7B">
        <w:rPr>
          <w:lang w:val="fr-FR"/>
        </w:rPr>
        <w:t>’</w:t>
      </w:r>
      <w:r w:rsidRPr="00440876">
        <w:rPr>
          <w:lang w:val="fr-FR"/>
        </w:rPr>
        <w:t>à compter de l</w:t>
      </w:r>
      <w:r w:rsidR="00606C7B">
        <w:rPr>
          <w:lang w:val="fr-FR"/>
        </w:rPr>
        <w:t>’</w:t>
      </w:r>
      <w:r w:rsidRPr="00440876">
        <w:rPr>
          <w:lang w:val="fr-FR"/>
        </w:rPr>
        <w:t>expiration dudit délai et jusqu</w:t>
      </w:r>
      <w:r w:rsidR="00606C7B">
        <w:rPr>
          <w:lang w:val="fr-FR"/>
        </w:rPr>
        <w:t>’</w:t>
      </w:r>
      <w:r w:rsidRPr="00440876">
        <w:rPr>
          <w:lang w:val="fr-FR"/>
        </w:rPr>
        <w:t>au versement, ce montant ser</w:t>
      </w:r>
      <w:r w:rsidR="00BB5628">
        <w:rPr>
          <w:lang w:val="fr-FR"/>
        </w:rPr>
        <w:t>a</w:t>
      </w:r>
      <w:r w:rsidRPr="00440876">
        <w:rPr>
          <w:lang w:val="fr-FR"/>
        </w:rPr>
        <w:t xml:space="preserve"> à majorer d</w:t>
      </w:r>
      <w:r w:rsidR="00606C7B">
        <w:rPr>
          <w:lang w:val="fr-FR"/>
        </w:rPr>
        <w:t>’</w:t>
      </w:r>
      <w:r w:rsidRPr="00440876">
        <w:rPr>
          <w:lang w:val="fr-FR"/>
        </w:rPr>
        <w:t>un intérêt simple à un taux égal à celui de la facilité de prêt marginal de la Banque centrale européenne applicable pendant cette période, augmenté de trois points de pourcentage ;</w:t>
      </w:r>
    </w:p>
    <w:p w:rsidR="006C6373" w:rsidRPr="00440876" w:rsidRDefault="006C6373" w:rsidP="006C6373">
      <w:pPr>
        <w:pStyle w:val="JuLista"/>
        <w:rPr>
          <w:lang w:val="fr-FR"/>
        </w:rPr>
      </w:pPr>
    </w:p>
    <w:p w:rsidR="006C6373" w:rsidRPr="00440876" w:rsidRDefault="006C6373" w:rsidP="006C6373">
      <w:pPr>
        <w:pStyle w:val="JuLista"/>
        <w:ind w:left="0"/>
        <w:rPr>
          <w:lang w:val="fr-FR"/>
        </w:rPr>
      </w:pPr>
      <w:r>
        <w:rPr>
          <w:lang w:val="fr-FR"/>
        </w:rPr>
        <w:t>5</w:t>
      </w:r>
      <w:r w:rsidRPr="00440876">
        <w:rPr>
          <w:lang w:val="fr-FR"/>
        </w:rPr>
        <w:t>.  </w:t>
      </w:r>
      <w:r w:rsidRPr="00440876">
        <w:rPr>
          <w:i/>
          <w:lang w:val="fr-FR"/>
        </w:rPr>
        <w:t>Rejette</w:t>
      </w:r>
      <w:r w:rsidRPr="00440876">
        <w:rPr>
          <w:lang w:val="fr-FR"/>
        </w:rPr>
        <w:t xml:space="preserve"> la demande de satisfaction équitable pour le surplus</w:t>
      </w:r>
      <w:r>
        <w:rPr>
          <w:lang w:val="fr-FR"/>
        </w:rPr>
        <w:t>.</w:t>
      </w:r>
    </w:p>
    <w:p w:rsidR="006C6373" w:rsidRPr="001F576E" w:rsidRDefault="006C6373" w:rsidP="006C6373">
      <w:pPr>
        <w:pStyle w:val="JuParaLast"/>
        <w:rPr>
          <w:lang w:val="fr-FR"/>
        </w:rPr>
      </w:pPr>
      <w:r w:rsidRPr="001F576E">
        <w:rPr>
          <w:lang w:val="fr-FR"/>
        </w:rPr>
        <w:t>Fait en françai</w:t>
      </w:r>
      <w:r w:rsidR="005B73B9">
        <w:rPr>
          <w:lang w:val="fr-FR"/>
        </w:rPr>
        <w:t xml:space="preserve">s, puis communiqué par écrit le </w:t>
      </w:r>
      <w:r>
        <w:rPr>
          <w:lang w:val="fr-FR"/>
        </w:rPr>
        <w:t>6 octobre 2015</w:t>
      </w:r>
      <w:r w:rsidRPr="001F576E">
        <w:rPr>
          <w:lang w:val="fr-FR"/>
        </w:rPr>
        <w:t>, en application de l</w:t>
      </w:r>
      <w:r w:rsidR="00606C7B">
        <w:rPr>
          <w:lang w:val="fr-FR"/>
        </w:rPr>
        <w:t>’</w:t>
      </w:r>
      <w:r w:rsidRPr="001F576E">
        <w:rPr>
          <w:lang w:val="fr-FR"/>
        </w:rPr>
        <w:t>article 77 §§ 2 et 3 du règlement de la Cour.</w:t>
      </w:r>
    </w:p>
    <w:p w:rsidR="006C6373" w:rsidRPr="00D25844" w:rsidRDefault="006C6373" w:rsidP="006C6373">
      <w:pPr>
        <w:pStyle w:val="JuSigned"/>
        <w:rPr>
          <w:lang w:val="fr-FR"/>
        </w:rPr>
      </w:pPr>
      <w:r w:rsidRPr="00D25844">
        <w:rPr>
          <w:lang w:val="fr-FR"/>
        </w:rPr>
        <w:tab/>
      </w:r>
      <w:proofErr w:type="spellStart"/>
      <w:r w:rsidRPr="00D25844">
        <w:rPr>
          <w:lang w:val="fr-FR"/>
        </w:rPr>
        <w:t>Fatoş</w:t>
      </w:r>
      <w:proofErr w:type="spellEnd"/>
      <w:r w:rsidRPr="00D25844">
        <w:rPr>
          <w:lang w:val="fr-FR"/>
        </w:rPr>
        <w:t xml:space="preserve"> </w:t>
      </w:r>
      <w:proofErr w:type="spellStart"/>
      <w:r w:rsidRPr="00D25844">
        <w:rPr>
          <w:lang w:val="fr-FR"/>
        </w:rPr>
        <w:t>Aracı</w:t>
      </w:r>
      <w:proofErr w:type="spellEnd"/>
      <w:r w:rsidRPr="00D25844">
        <w:rPr>
          <w:lang w:val="fr-FR"/>
        </w:rPr>
        <w:tab/>
      </w:r>
      <w:proofErr w:type="spellStart"/>
      <w:r w:rsidRPr="00D25844">
        <w:rPr>
          <w:lang w:val="fr-FR"/>
        </w:rPr>
        <w:t>Ledi</w:t>
      </w:r>
      <w:proofErr w:type="spellEnd"/>
      <w:r w:rsidRPr="00D25844">
        <w:rPr>
          <w:lang w:val="fr-FR"/>
        </w:rPr>
        <w:t xml:space="preserve"> </w:t>
      </w:r>
      <w:proofErr w:type="spellStart"/>
      <w:r w:rsidRPr="00D25844">
        <w:rPr>
          <w:lang w:val="fr-FR"/>
        </w:rPr>
        <w:t>Bianku</w:t>
      </w:r>
      <w:proofErr w:type="spellEnd"/>
      <w:r w:rsidRPr="00D25844">
        <w:rPr>
          <w:lang w:val="fr-FR"/>
        </w:rPr>
        <w:t xml:space="preserve"> </w:t>
      </w:r>
      <w:r w:rsidRPr="00D25844">
        <w:rPr>
          <w:lang w:val="fr-FR"/>
        </w:rPr>
        <w:br/>
      </w:r>
      <w:r w:rsidRPr="00D25844">
        <w:rPr>
          <w:lang w:val="fr-FR"/>
        </w:rPr>
        <w:tab/>
        <w:t>Greffière adjointe</w:t>
      </w:r>
      <w:r w:rsidRPr="00D25844">
        <w:rPr>
          <w:lang w:val="fr-FR"/>
        </w:rPr>
        <w:tab/>
        <w:t>Président</w:t>
      </w:r>
    </w:p>
    <w:p w:rsidR="002D2C99" w:rsidRPr="00E37CB1" w:rsidRDefault="002D2C99" w:rsidP="002D2C99">
      <w:pPr>
        <w:pStyle w:val="ECHRPara"/>
        <w:rPr>
          <w:lang w:val="fr-FR"/>
        </w:rPr>
      </w:pPr>
    </w:p>
    <w:sectPr w:rsidR="002D2C99" w:rsidRPr="00E37CB1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2274" w:right="2274" w:bottom="2274" w:left="2274" w:header="1701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317" w:rsidRDefault="00382317" w:rsidP="002D2C99">
      <w:r>
        <w:separator/>
      </w:r>
    </w:p>
  </w:endnote>
  <w:endnote w:type="continuationSeparator" w:id="0">
    <w:p w:rsidR="00382317" w:rsidRDefault="00382317" w:rsidP="002D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373" w:rsidRPr="00150BFA" w:rsidRDefault="006C6373" w:rsidP="0020718E">
    <w:pPr>
      <w:jc w:val="center"/>
    </w:pPr>
    <w:r>
      <w:rPr>
        <w:noProof/>
        <w:lang w:val="it-IT" w:eastAsia="it-IT"/>
      </w:rPr>
      <w:drawing>
        <wp:inline distT="0" distB="0" distL="0" distR="0" wp14:anchorId="4A66C932" wp14:editId="64416E16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C99" w:rsidRDefault="002D2C99" w:rsidP="005072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007" w:rsidRDefault="00382317" w:rsidP="005072E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007" w:rsidRDefault="00382317" w:rsidP="005072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317" w:rsidRDefault="00382317" w:rsidP="002D2C99">
      <w:r>
        <w:separator/>
      </w:r>
    </w:p>
  </w:footnote>
  <w:footnote w:type="continuationSeparator" w:id="0">
    <w:p w:rsidR="00382317" w:rsidRDefault="00382317" w:rsidP="002D2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373" w:rsidRPr="00A45145" w:rsidRDefault="006C6373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2BCE491" wp14:editId="73994CA3">
          <wp:extent cx="2962275" cy="1219200"/>
          <wp:effectExtent l="0" t="0" r="9525" b="0"/>
          <wp:docPr id="4" name="Picture 4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C99" w:rsidRDefault="002D2C99" w:rsidP="00F5432B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007" w:rsidRPr="00F5432B" w:rsidRDefault="006C6373" w:rsidP="00F5432B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AF668E">
      <w:rPr>
        <w:rStyle w:val="Numeropagina"/>
        <w:noProof/>
        <w:lang w:val="fr-FR"/>
      </w:rPr>
      <w:t>6</w:t>
    </w:r>
    <w:r>
      <w:rPr>
        <w:rStyle w:val="Numeropagina"/>
        <w:lang w:val="fr-FR"/>
      </w:rPr>
      <w:fldChar w:fldCharType="end"/>
    </w:r>
    <w:r w:rsidR="00420F04" w:rsidRPr="00F5432B">
      <w:rPr>
        <w:lang w:val="fr-FR"/>
      </w:rPr>
      <w:tab/>
      <w:t xml:space="preserve">ARRÊT </w:t>
    </w:r>
    <w:r>
      <w:rPr>
        <w:lang w:val="fr-FR"/>
      </w:rPr>
      <w:t>QUINTILIANI c. ITALIE</w:t>
    </w:r>
    <w:r w:rsidR="00420F04" w:rsidRPr="00F5432B">
      <w:rPr>
        <w:lang w:val="fr-F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007" w:rsidRPr="007100AD" w:rsidRDefault="00420F04" w:rsidP="00420F04">
    <w:pPr>
      <w:pStyle w:val="ECHRHeader"/>
    </w:pPr>
    <w:r>
      <w:tab/>
    </w:r>
    <w:r w:rsidRPr="00A7574A">
      <w:rPr>
        <w:lang w:val="en-GB"/>
      </w:rPr>
      <w:t xml:space="preserve">ARRÊT </w:t>
    </w:r>
    <w:r w:rsidR="006C6373">
      <w:rPr>
        <w:lang w:val="en-GB"/>
      </w:rPr>
      <w:t>QUINTILIANI c. ITALIE</w:t>
    </w:r>
    <w:r w:rsidRPr="00A7574A">
      <w:rPr>
        <w:lang w:val="en-GB"/>
      </w:rPr>
      <w:t xml:space="preserve"> </w:t>
    </w:r>
    <w:r w:rsidRPr="007100AD">
      <w:tab/>
    </w:r>
    <w:r w:rsidR="006C6373">
      <w:rPr>
        <w:rStyle w:val="Numeropagina"/>
        <w:lang w:val="en-GB"/>
      </w:rPr>
      <w:fldChar w:fldCharType="begin"/>
    </w:r>
    <w:r w:rsidR="006C6373">
      <w:rPr>
        <w:rStyle w:val="Numeropagina"/>
        <w:lang w:val="en-GB"/>
      </w:rPr>
      <w:instrText xml:space="preserve"> PAGE </w:instrText>
    </w:r>
    <w:r w:rsidR="006C6373">
      <w:rPr>
        <w:rStyle w:val="Numeropagina"/>
        <w:lang w:val="en-GB"/>
      </w:rPr>
      <w:fldChar w:fldCharType="separate"/>
    </w:r>
    <w:r w:rsidR="00AF668E">
      <w:rPr>
        <w:rStyle w:val="Numeropagina"/>
        <w:noProof/>
        <w:lang w:val="en-GB"/>
      </w:rPr>
      <w:t>7</w:t>
    </w:r>
    <w:r w:rsidR="006C6373">
      <w:rPr>
        <w:rStyle w:val="Numeropagina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A08B0C2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F25AF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02EDC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E60D70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AA4F54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E2214A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DCF244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04BE7E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A8490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CC5F4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63396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B4233A6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0152ADB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6C6373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27B42"/>
    <w:rsid w:val="00133D33"/>
    <w:rsid w:val="00134D64"/>
    <w:rsid w:val="00135A30"/>
    <w:rsid w:val="0013612C"/>
    <w:rsid w:val="00137FF6"/>
    <w:rsid w:val="00141650"/>
    <w:rsid w:val="00162A12"/>
    <w:rsid w:val="00166530"/>
    <w:rsid w:val="001832BD"/>
    <w:rsid w:val="001943B5"/>
    <w:rsid w:val="00195134"/>
    <w:rsid w:val="001A145B"/>
    <w:rsid w:val="001A2C07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258CD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97D64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D2C99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2317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14300"/>
    <w:rsid w:val="00420F04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0C22"/>
    <w:rsid w:val="004F10AF"/>
    <w:rsid w:val="004F11A4"/>
    <w:rsid w:val="004F2389"/>
    <w:rsid w:val="004F304D"/>
    <w:rsid w:val="004F3C1B"/>
    <w:rsid w:val="004F61BE"/>
    <w:rsid w:val="004F66B1"/>
    <w:rsid w:val="00511C07"/>
    <w:rsid w:val="005173A6"/>
    <w:rsid w:val="00520BAA"/>
    <w:rsid w:val="005236D5"/>
    <w:rsid w:val="00525208"/>
    <w:rsid w:val="005257A5"/>
    <w:rsid w:val="005264C0"/>
    <w:rsid w:val="00526A8A"/>
    <w:rsid w:val="00531DF2"/>
    <w:rsid w:val="005407D7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B73B9"/>
    <w:rsid w:val="005C3EE8"/>
    <w:rsid w:val="005D34F9"/>
    <w:rsid w:val="005D4190"/>
    <w:rsid w:val="005D67A3"/>
    <w:rsid w:val="005E2988"/>
    <w:rsid w:val="005E3085"/>
    <w:rsid w:val="005F51E1"/>
    <w:rsid w:val="00606C7B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6373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65D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354C"/>
    <w:rsid w:val="00AF4B07"/>
    <w:rsid w:val="00AF6186"/>
    <w:rsid w:val="00AF668E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5628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226"/>
    <w:rsid w:val="00C41974"/>
    <w:rsid w:val="00C41981"/>
    <w:rsid w:val="00C535F5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37CB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432B"/>
    <w:rsid w:val="00F56A6F"/>
    <w:rsid w:val="00F5709C"/>
    <w:rsid w:val="00F64EF1"/>
    <w:rsid w:val="00F85EDD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06C7B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606C7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606C7B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606C7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606C7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06C7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606C7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06C7B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06C7B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06C7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06C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C7B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06C7B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06C7B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606C7B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606C7B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06C7B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06C7B"/>
    <w:rPr>
      <w:rFonts w:eastAsiaTheme="minorEastAsia"/>
      <w:sz w:val="24"/>
    </w:rPr>
  </w:style>
  <w:style w:type="paragraph" w:customStyle="1" w:styleId="ECHRParaQuote">
    <w:name w:val="ECHR_Para_Quote"/>
    <w:aliases w:val="Ju_Quot,Para_Quote"/>
    <w:basedOn w:val="Normale"/>
    <w:uiPriority w:val="14"/>
    <w:qFormat/>
    <w:rsid w:val="00606C7B"/>
    <w:pPr>
      <w:spacing w:before="120" w:after="120"/>
      <w:ind w:left="425" w:firstLine="142"/>
    </w:pPr>
    <w:rPr>
      <w:sz w:val="20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606C7B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AppQuestion">
    <w:name w:val="Ju_App_Question"/>
    <w:basedOn w:val="Normale"/>
    <w:uiPriority w:val="5"/>
    <w:qFormat/>
    <w:rsid w:val="00606C7B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606C7B"/>
  </w:style>
  <w:style w:type="paragraph" w:customStyle="1" w:styleId="JuParaSub">
    <w:name w:val="Ju_Para_Sub"/>
    <w:basedOn w:val="ECHRPara"/>
    <w:uiPriority w:val="13"/>
    <w:qFormat/>
    <w:rsid w:val="00606C7B"/>
    <w:pPr>
      <w:ind w:left="284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06C7B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606C7B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ParaSub">
    <w:name w:val="Opi_Para_Sub"/>
    <w:basedOn w:val="JuParaSub"/>
    <w:uiPriority w:val="47"/>
    <w:semiHidden/>
    <w:qFormat/>
    <w:rsid w:val="00606C7B"/>
  </w:style>
  <w:style w:type="paragraph" w:customStyle="1" w:styleId="ECHRTitle1">
    <w:name w:val="ECHR_Title_1"/>
    <w:aliases w:val="Ju_H_Head,Title_L_1"/>
    <w:basedOn w:val="Normale"/>
    <w:next w:val="ECHRPara"/>
    <w:uiPriority w:val="18"/>
    <w:qFormat/>
    <w:rsid w:val="00606C7B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semiHidden/>
    <w:qFormat/>
    <w:rsid w:val="00606C7B"/>
  </w:style>
  <w:style w:type="paragraph" w:customStyle="1" w:styleId="JuSigned">
    <w:name w:val="Ju_Signed"/>
    <w:basedOn w:val="Normale"/>
    <w:next w:val="JuParaLast"/>
    <w:uiPriority w:val="32"/>
    <w:qFormat/>
    <w:rsid w:val="00606C7B"/>
    <w:pPr>
      <w:tabs>
        <w:tab w:val="center" w:pos="851"/>
        <w:tab w:val="center" w:pos="6407"/>
      </w:tabs>
      <w:spacing w:before="720"/>
      <w:jc w:val="lef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06C7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06C7B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QuotSub">
    <w:name w:val="Opi_Quot_Sub"/>
    <w:basedOn w:val="JuQuotSub"/>
    <w:uiPriority w:val="49"/>
    <w:semiHidden/>
    <w:qFormat/>
    <w:rsid w:val="00606C7B"/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606C7B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Title">
    <w:name w:val="Ju_Title"/>
    <w:basedOn w:val="Normale"/>
    <w:next w:val="ECHRPara"/>
    <w:uiPriority w:val="3"/>
    <w:qFormat/>
    <w:rsid w:val="00606C7B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JuQuotSub">
    <w:name w:val="Ju_Quot_Sub"/>
    <w:basedOn w:val="ECHRParaQuote"/>
    <w:uiPriority w:val="15"/>
    <w:qFormat/>
    <w:rsid w:val="00606C7B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606C7B"/>
    <w:pPr>
      <w:tabs>
        <w:tab w:val="center" w:pos="6407"/>
      </w:tabs>
      <w:spacing w:before="720"/>
      <w:jc w:val="right"/>
    </w:pPr>
  </w:style>
  <w:style w:type="paragraph" w:customStyle="1" w:styleId="ECHRHeading1">
    <w:name w:val="ECHR_Heading_1"/>
    <w:aliases w:val="Ju_H_I_Roman"/>
    <w:basedOn w:val="Titolo1"/>
    <w:next w:val="ECHRPara"/>
    <w:link w:val="JuHIRomanChar"/>
    <w:uiPriority w:val="19"/>
    <w:qFormat/>
    <w:rsid w:val="00606C7B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,Head_2"/>
    <w:basedOn w:val="Titolo2"/>
    <w:next w:val="ECHRPara"/>
    <w:uiPriority w:val="20"/>
    <w:qFormat/>
    <w:rsid w:val="00606C7B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606C7B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606C7B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606C7B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606C7B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606C7B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606C7B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606C7B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606C7B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606C7B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06C7B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606C7B"/>
    <w:pPr>
      <w:keepNext/>
      <w:keepLines/>
      <w:spacing w:before="240"/>
      <w:ind w:firstLine="284"/>
    </w:pPr>
  </w:style>
  <w:style w:type="paragraph" w:customStyle="1" w:styleId="JuList">
    <w:name w:val="Ju_List"/>
    <w:basedOn w:val="Normale"/>
    <w:uiPriority w:val="28"/>
    <w:qFormat/>
    <w:rsid w:val="00606C7B"/>
    <w:pPr>
      <w:ind w:left="340" w:hanging="340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06C7B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JuLista">
    <w:name w:val="Ju_List_a"/>
    <w:basedOn w:val="JuList"/>
    <w:uiPriority w:val="28"/>
    <w:qFormat/>
    <w:rsid w:val="00606C7B"/>
    <w:pPr>
      <w:ind w:left="346" w:firstLine="0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06C7B"/>
    <w:rPr>
      <w:rFonts w:asciiTheme="majorHAnsi" w:eastAsiaTheme="majorEastAsia" w:hAnsiTheme="majorHAnsi" w:cstheme="majorBidi"/>
      <w:b/>
      <w:bCs/>
      <w:color w:val="808080"/>
      <w:sz w:val="24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06C7B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06C7B"/>
    <w:rPr>
      <w:caps w:val="0"/>
      <w:smallCaps/>
    </w:rPr>
  </w:style>
  <w:style w:type="character" w:styleId="Enfasidelicata">
    <w:name w:val="Subtle Emphasis"/>
    <w:uiPriority w:val="99"/>
    <w:semiHidden/>
    <w:qFormat/>
    <w:rsid w:val="00606C7B"/>
    <w:rPr>
      <w:i/>
      <w:iCs/>
    </w:rPr>
  </w:style>
  <w:style w:type="character" w:customStyle="1" w:styleId="JuITMark">
    <w:name w:val="Ju_ITMark"/>
    <w:basedOn w:val="Carpredefinitoparagrafo"/>
    <w:uiPriority w:val="38"/>
    <w:qFormat/>
    <w:rsid w:val="00606C7B"/>
    <w:rPr>
      <w:vanish w:val="0"/>
      <w:color w:val="auto"/>
      <w:sz w:val="14"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06C7B"/>
    <w:pPr>
      <w:jc w:val="center"/>
      <w:outlineLvl w:val="0"/>
    </w:pPr>
    <w:rPr>
      <w:i/>
    </w:rPr>
  </w:style>
  <w:style w:type="paragraph" w:customStyle="1" w:styleId="DecHTitle">
    <w:name w:val="Dec_H_Title"/>
    <w:basedOn w:val="ECHRTitleCentre1"/>
    <w:uiPriority w:val="7"/>
    <w:qFormat/>
    <w:rsid w:val="00606C7B"/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06C7B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styleId="Enfasicorsivo">
    <w:name w:val="Emphasis"/>
    <w:uiPriority w:val="99"/>
    <w:semiHidden/>
    <w:qFormat/>
    <w:rsid w:val="00606C7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606C7B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606C7B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606C7B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06C7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6C7B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606C7B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06C7B"/>
    <w:rPr>
      <w:rFonts w:asciiTheme="majorHAnsi" w:eastAsiaTheme="majorEastAsia" w:hAnsiTheme="majorHAnsi" w:cstheme="majorBidi"/>
      <w:i/>
      <w:iCs/>
      <w:sz w:val="24"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06C7B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06C7B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606C7B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06C7B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06C7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06C7B"/>
    <w:rPr>
      <w:rFonts w:eastAsiaTheme="minorEastAsia"/>
      <w:b/>
      <w:bCs/>
      <w:i/>
      <w:iCs/>
      <w:sz w:val="24"/>
      <w:lang w:bidi="en-US"/>
    </w:rPr>
  </w:style>
  <w:style w:type="character" w:styleId="Riferimentointenso">
    <w:name w:val="Intense Reference"/>
    <w:uiPriority w:val="99"/>
    <w:semiHidden/>
    <w:qFormat/>
    <w:rsid w:val="00606C7B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06C7B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06C7B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06C7B"/>
    <w:rPr>
      <w:rFonts w:eastAsiaTheme="minorEastAsia"/>
      <w:i/>
      <w:iCs/>
      <w:sz w:val="24"/>
      <w:lang w:bidi="en-US"/>
    </w:rPr>
  </w:style>
  <w:style w:type="character" w:styleId="Riferimentodelicato">
    <w:name w:val="Subtle Reference"/>
    <w:uiPriority w:val="99"/>
    <w:semiHidden/>
    <w:qFormat/>
    <w:rsid w:val="00606C7B"/>
    <w:rPr>
      <w:smallCaps/>
    </w:rPr>
  </w:style>
  <w:style w:type="table" w:styleId="Grigliatabella">
    <w:name w:val="Table Grid"/>
    <w:basedOn w:val="Tabellanormale"/>
    <w:uiPriority w:val="59"/>
    <w:rsid w:val="00606C7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606C7B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606C7B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606C7B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606C7B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606C7B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06C7B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606C7B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06C7B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Nessunelenco"/>
    <w:uiPriority w:val="99"/>
    <w:semiHidden/>
    <w:unhideWhenUsed/>
    <w:rsid w:val="002D2C99"/>
    <w:pPr>
      <w:numPr>
        <w:numId w:val="2"/>
      </w:numPr>
    </w:pPr>
  </w:style>
  <w:style w:type="numbering" w:styleId="1ai">
    <w:name w:val="Outline List 1"/>
    <w:basedOn w:val="Nessunelenco"/>
    <w:uiPriority w:val="99"/>
    <w:semiHidden/>
    <w:unhideWhenUsed/>
    <w:rsid w:val="002D2C99"/>
    <w:pPr>
      <w:numPr>
        <w:numId w:val="3"/>
      </w:numPr>
    </w:p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606C7B"/>
    <w:pPr>
      <w:ind w:firstLine="284"/>
    </w:pPr>
  </w:style>
  <w:style w:type="numbering" w:styleId="ArticoloSezione">
    <w:name w:val="Outline List 3"/>
    <w:basedOn w:val="Nessunelenco"/>
    <w:uiPriority w:val="99"/>
    <w:semiHidden/>
    <w:unhideWhenUsed/>
    <w:rsid w:val="002D2C99"/>
    <w:pPr>
      <w:numPr>
        <w:numId w:val="4"/>
      </w:numPr>
    </w:p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paragraph" w:styleId="Bibliografia">
    <w:name w:val="Bibliography"/>
    <w:basedOn w:val="Normale"/>
    <w:next w:val="Normale"/>
    <w:uiPriority w:val="99"/>
    <w:semiHidden/>
    <w:rsid w:val="002D2C99"/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606C7B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2D2C99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paragraph" w:styleId="Corpotesto">
    <w:name w:val="Body Text"/>
    <w:basedOn w:val="Normale"/>
    <w:link w:val="CorpotestoCarattere"/>
    <w:uiPriority w:val="99"/>
    <w:semiHidden/>
    <w:rsid w:val="002D2C99"/>
    <w:pPr>
      <w:spacing w:after="120"/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D2C99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2D2C99"/>
    <w:pPr>
      <w:spacing w:after="120" w:line="480" w:lineRule="auto"/>
    </w:p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e"/>
    <w:uiPriority w:val="11"/>
    <w:qFormat/>
    <w:rsid w:val="00606C7B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Case">
    <w:name w:val="Ju_Case"/>
    <w:basedOn w:val="Normale"/>
    <w:next w:val="ECHRPara"/>
    <w:uiPriority w:val="10"/>
    <w:rsid w:val="00606C7B"/>
    <w:pPr>
      <w:ind w:firstLine="284"/>
    </w:pPr>
    <w:rPr>
      <w:b/>
    </w:rPr>
  </w:style>
  <w:style w:type="character" w:styleId="Numeropagina">
    <w:name w:val="page number"/>
    <w:uiPriority w:val="99"/>
    <w:semiHidden/>
    <w:rsid w:val="002D2C99"/>
    <w:rPr>
      <w:rFonts w:ascii="Times New Roman" w:hAnsi="Times New Roman" w:cs="Times New Roman"/>
      <w:sz w:val="18"/>
    </w:rPr>
  </w:style>
  <w:style w:type="paragraph" w:styleId="Puntoelenco2">
    <w:name w:val="List Bullet 2"/>
    <w:basedOn w:val="Normale"/>
    <w:uiPriority w:val="99"/>
    <w:semiHidden/>
    <w:rsid w:val="002D2C99"/>
    <w:pPr>
      <w:numPr>
        <w:numId w:val="1"/>
      </w:numPr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D2C99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2D2C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D2C99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2D2C99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2D2C99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D2C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D2C99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2D2C99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2D2C99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2D2C9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D2C99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2D2C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D2C99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2D2C99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2D2C9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2D2C99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2D2C9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2D2C9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2D2C9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2D2C9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2D2C9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2D2C9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2D2C9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2D2C9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2D2C99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2D2C99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2D2C9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2D2C99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2D2C9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2D2C99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2D2C9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2D2C9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2D2C9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2D2C99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2D2C9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2D2C99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2D2C9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rsid w:val="002D2C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D2C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2C99"/>
    <w:rPr>
      <w:rFonts w:eastAsiaTheme="minorEastAsi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2D2C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2C99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2D2C99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2D2C99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2D2C99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2D2C9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2D2C99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2D2C9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2D2C99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2D2C99"/>
  </w:style>
  <w:style w:type="character" w:customStyle="1" w:styleId="DataCarattere">
    <w:name w:val="Data Carattere"/>
    <w:basedOn w:val="Carpredefinitoparagrafo"/>
    <w:link w:val="Data"/>
    <w:uiPriority w:val="99"/>
    <w:semiHidden/>
    <w:rsid w:val="002D2C99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2D2C9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D2C99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2D2C9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2D2C99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2D2C9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2D2C9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D2C99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2D2C9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2D2C99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2D2C99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2D2C99"/>
  </w:style>
  <w:style w:type="paragraph" w:styleId="IndirizzoHTML">
    <w:name w:val="HTML Address"/>
    <w:basedOn w:val="Normale"/>
    <w:link w:val="IndirizzoHTMLCarattere"/>
    <w:uiPriority w:val="99"/>
    <w:semiHidden/>
    <w:rsid w:val="002D2C9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D2C99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2D2C99"/>
    <w:rPr>
      <w:i/>
      <w:iCs/>
    </w:rPr>
  </w:style>
  <w:style w:type="character" w:styleId="CodiceHTML">
    <w:name w:val="HTML Code"/>
    <w:basedOn w:val="Carpredefinitoparagrafo"/>
    <w:uiPriority w:val="99"/>
    <w:semiHidden/>
    <w:rsid w:val="002D2C99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2D2C99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2D2C99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2D2C99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D2C99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2D2C99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2D2C99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2D2C99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2D2C99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2D2C99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2D2C99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2D2C99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2D2C99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2D2C99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2D2C99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2D2C99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2D2C99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2D2C99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2D2C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2D2C9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2D2C9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2D2C9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2D2C9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2D2C9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2D2C9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2D2C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2D2C9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2D2C9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2D2C9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2D2C9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2D2C9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2D2C9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2D2C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2D2C99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2D2C99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2D2C99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2D2C99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2D2C99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2D2C99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2D2C99"/>
  </w:style>
  <w:style w:type="paragraph" w:styleId="Elenco">
    <w:name w:val="List"/>
    <w:basedOn w:val="Normale"/>
    <w:uiPriority w:val="99"/>
    <w:semiHidden/>
    <w:rsid w:val="002D2C99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2D2C99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2D2C99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2D2C99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2D2C99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2D2C99"/>
    <w:pPr>
      <w:numPr>
        <w:numId w:val="5"/>
      </w:numPr>
      <w:contextualSpacing/>
    </w:pPr>
  </w:style>
  <w:style w:type="paragraph" w:styleId="Puntoelenco3">
    <w:name w:val="List Bullet 3"/>
    <w:basedOn w:val="Normale"/>
    <w:uiPriority w:val="99"/>
    <w:semiHidden/>
    <w:rsid w:val="002D2C99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2D2C99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2D2C99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2D2C99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2D2C99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2D2C99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2D2C99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2D2C99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2D2C99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2D2C99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2D2C99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2D2C99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2D2C99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2D2C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D2C99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2D2C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2D2C9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2D2C9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2D2C9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2D2C9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2D2C9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2D2C9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2D2C9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2D2C9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2D2C9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2D2C9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2D2C9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2D2C9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2D2C9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2D2C9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2D2C99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2D2C99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2D2C9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2D2C99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2D2C9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2D2C99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2D2C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2D2C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2D2C9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2D2C9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2D2C9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2D2C9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2D2C9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2D2C9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2D2C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2D2C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2D2C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2D2C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2D2C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2D2C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2D2C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2D2C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2D2C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2D2C99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2D2C99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2D2C99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2D2C99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2D2C99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2D2C9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D2C99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2D2C9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2D2C99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2D2C99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2D2C99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2D2C9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2D2C99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2D2C99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2D2C9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2D2C9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2D2C99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2D2C99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2D2C99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2D2C99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2D2C99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2D2C99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2D2C99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2D2C99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2D2C99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2D2C9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2D2C99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2D2C99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2D2C9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2D2C99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2D2C99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2D2C99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2D2C9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2D2C9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2D2C99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2D2C99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2D2C99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2D2C99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2D2C99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2D2C9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2D2C9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2D2C9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2D2C99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2D2C9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2D2C99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2D2C99"/>
  </w:style>
  <w:style w:type="table" w:styleId="Tabellaprofessionale">
    <w:name w:val="Table Professional"/>
    <w:basedOn w:val="Tabellanormale"/>
    <w:uiPriority w:val="99"/>
    <w:semiHidden/>
    <w:unhideWhenUsed/>
    <w:rsid w:val="002D2C9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2D2C99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2D2C99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2D2C9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2D2C99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2D2C99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2D2C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2D2C99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2D2C99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2D2C99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2D2C99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2D2C99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2D2C99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2D2C99"/>
    <w:pPr>
      <w:spacing w:after="100"/>
      <w:ind w:left="1920"/>
    </w:pPr>
  </w:style>
  <w:style w:type="character" w:customStyle="1" w:styleId="ECHRParaChar">
    <w:name w:val="ECHR_Para Char"/>
    <w:aliases w:val="Ju_Para Char"/>
    <w:basedOn w:val="Carpredefinitoparagrafo"/>
    <w:link w:val="ECHRPara"/>
    <w:uiPriority w:val="12"/>
    <w:rsid w:val="006C6373"/>
    <w:rPr>
      <w:rFonts w:eastAsiaTheme="minorEastAsia"/>
      <w:sz w:val="24"/>
    </w:rPr>
  </w:style>
  <w:style w:type="paragraph" w:customStyle="1" w:styleId="JuCourt">
    <w:name w:val="Ju_Court"/>
    <w:basedOn w:val="Normale"/>
    <w:next w:val="Normale"/>
    <w:uiPriority w:val="16"/>
    <w:qFormat/>
    <w:rsid w:val="00606C7B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customStyle="1" w:styleId="JuHIRomanChar">
    <w:name w:val="Ju_H_I_Roman Char"/>
    <w:link w:val="ECHRHeading1"/>
    <w:uiPriority w:val="19"/>
    <w:rsid w:val="006C6373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ju-005fpara--char">
    <w:name w:val="ju-005fpara--char"/>
    <w:basedOn w:val="Carpredefinitoparagrafo"/>
    <w:rsid w:val="006C6373"/>
  </w:style>
  <w:style w:type="paragraph" w:customStyle="1" w:styleId="DecList">
    <w:name w:val="Dec_List"/>
    <w:basedOn w:val="Normale"/>
    <w:uiPriority w:val="9"/>
    <w:qFormat/>
    <w:rsid w:val="00606C7B"/>
    <w:pPr>
      <w:spacing w:before="240"/>
      <w:ind w:left="284"/>
    </w:pPr>
  </w:style>
  <w:style w:type="paragraph" w:customStyle="1" w:styleId="JuListi">
    <w:name w:val="Ju_List_i"/>
    <w:basedOn w:val="Normale"/>
    <w:next w:val="JuLista"/>
    <w:uiPriority w:val="28"/>
    <w:qFormat/>
    <w:rsid w:val="00606C7B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606C7B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06C7B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606C7B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06C7B"/>
    <w:rPr>
      <w:color w:val="00B05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DA41-9319-4261-AAEB-6BB5C1857F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627871-1A75-421B-8B5B-73F8ECFF8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313F1-BE6A-41F2-92E4-40F1B52C21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DDA8FF-371F-4D3A-9C11-2D0B0058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2276</Words>
  <Characters>12974</Characters>
  <Application>Microsoft Office Word</Application>
  <DocSecurity>0</DocSecurity>
  <Lines>108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15220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DJF</dc:subject>
  <dc:creator/>
  <cp:lastModifiedBy/>
  <cp:revision>1</cp:revision>
  <dcterms:created xsi:type="dcterms:W3CDTF">2015-10-22T13:50:00Z</dcterms:created>
  <dcterms:modified xsi:type="dcterms:W3CDTF">2015-10-22T13:50:00Z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